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91536" w14:textId="77777777" w:rsidR="00C833BC" w:rsidRDefault="00C833BC">
      <w:pPr>
        <w:pStyle w:val="Paper-Title"/>
        <w:spacing w:after="160"/>
        <w:rPr>
          <w:noProof w:val="0"/>
          <w:lang w:val="en-US"/>
        </w:rPr>
      </w:pPr>
    </w:p>
    <w:p w14:paraId="68091537" w14:textId="77777777" w:rsidR="00C833BC" w:rsidRDefault="00D802EC" w:rsidP="005C4B23">
      <w:pPr>
        <w:pStyle w:val="Paper-Title"/>
        <w:spacing w:after="160"/>
        <w:rPr>
          <w:noProof w:val="0"/>
          <w:lang w:val="en-US"/>
        </w:rPr>
      </w:pPr>
      <w:r>
        <w:rPr>
          <w:noProof w:val="0"/>
          <w:lang w:val="en-US"/>
        </w:rPr>
        <w:t>Vis-à-vis</w:t>
      </w:r>
      <w:r w:rsidR="005C4B23">
        <w:rPr>
          <w:noProof w:val="0"/>
          <w:lang w:val="en-US"/>
        </w:rPr>
        <w:t xml:space="preserve">: </w:t>
      </w:r>
      <w:r w:rsidR="00A24E68">
        <w:rPr>
          <w:noProof w:val="0"/>
          <w:lang w:val="en-US"/>
        </w:rPr>
        <w:t xml:space="preserve">A </w:t>
      </w:r>
      <w:r w:rsidR="00CD2FAA">
        <w:rPr>
          <w:noProof w:val="0"/>
          <w:lang w:val="en-US"/>
        </w:rPr>
        <w:t xml:space="preserve">Visual Language </w:t>
      </w:r>
      <w:r w:rsidR="00CC7F56">
        <w:rPr>
          <w:noProof w:val="0"/>
          <w:lang w:val="en-US"/>
        </w:rPr>
        <w:t xml:space="preserve">for </w:t>
      </w:r>
      <w:r w:rsidR="00CD2FAA">
        <w:rPr>
          <w:noProof w:val="0"/>
          <w:lang w:val="en-US"/>
        </w:rPr>
        <w:t>Spreadsheet Visualizations</w:t>
      </w:r>
    </w:p>
    <w:p w14:paraId="68091538" w14:textId="77777777" w:rsidR="00C833BC" w:rsidRDefault="00A24E68" w:rsidP="00F11AF7">
      <w:pPr>
        <w:pStyle w:val="E-Mail"/>
        <w:tabs>
          <w:tab w:val="left" w:pos="6293"/>
        </w:tabs>
        <w:jc w:val="left"/>
        <w:rPr>
          <w:rFonts w:ascii="Times New Roman" w:hAnsi="Times New Roman"/>
          <w:sz w:val="18"/>
          <w:szCs w:val="18"/>
          <w:lang w:val="en-US"/>
        </w:rPr>
      </w:pPr>
      <w:r>
        <w:rPr>
          <w:rFonts w:ascii="Times New Roman" w:hAnsi="Times New Roman"/>
          <w:sz w:val="18"/>
          <w:szCs w:val="18"/>
          <w:lang w:val="en-US"/>
        </w:rPr>
        <w:tab/>
      </w:r>
    </w:p>
    <w:p w14:paraId="68091539" w14:textId="1BE7649B" w:rsidR="00C833BC" w:rsidRDefault="00DE67A1">
      <w:pPr>
        <w:pStyle w:val="E-Mail"/>
        <w:spacing w:line="480" w:lineRule="auto"/>
        <w:rPr>
          <w:rFonts w:ascii="Times New Roman" w:hAnsi="Times New Roman"/>
          <w:sz w:val="18"/>
          <w:szCs w:val="18"/>
          <w:lang w:val="en-US"/>
        </w:rPr>
      </w:pPr>
      <w:r>
        <w:rPr>
          <w:rFonts w:ascii="Times New Roman" w:hAnsi="Times New Roman"/>
          <w:sz w:val="18"/>
          <w:szCs w:val="18"/>
          <w:lang w:val="en-US"/>
        </w:rPr>
        <w:t>Dany</w:t>
      </w:r>
      <w:r w:rsidR="00186F41">
        <w:rPr>
          <w:rFonts w:ascii="Times New Roman" w:hAnsi="Times New Roman"/>
          <w:sz w:val="18"/>
          <w:szCs w:val="18"/>
          <w:lang w:val="en-US"/>
        </w:rPr>
        <w:t xml:space="preserve">el Fisher, Steven </w:t>
      </w:r>
      <w:r>
        <w:rPr>
          <w:rFonts w:ascii="Times New Roman" w:hAnsi="Times New Roman"/>
          <w:sz w:val="18"/>
          <w:szCs w:val="18"/>
          <w:lang w:val="en-US"/>
        </w:rPr>
        <w:t xml:space="preserve">M. </w:t>
      </w:r>
      <w:r w:rsidR="00186F41">
        <w:rPr>
          <w:rFonts w:ascii="Times New Roman" w:hAnsi="Times New Roman"/>
          <w:sz w:val="18"/>
          <w:szCs w:val="18"/>
          <w:lang w:val="en-US"/>
        </w:rPr>
        <w:t>Drucker, Roland Fernandez, Xiaoji Chen</w:t>
      </w:r>
    </w:p>
    <w:p w14:paraId="6809153E" w14:textId="77777777" w:rsidR="00C833BC" w:rsidRDefault="00C833BC" w:rsidP="00BA046B">
      <w:pPr>
        <w:pStyle w:val="Heading1"/>
        <w:numPr>
          <w:ilvl w:val="0"/>
          <w:numId w:val="0"/>
        </w:numPr>
        <w:rPr>
          <w:lang w:val="en-US"/>
        </w:rPr>
      </w:pPr>
      <w:bookmarkStart w:id="0" w:name="_GoBack"/>
      <w:bookmarkEnd w:id="0"/>
    </w:p>
    <w:p w14:paraId="6809153F" w14:textId="77777777" w:rsidR="0070711C" w:rsidRDefault="0053441C" w:rsidP="00BA046B">
      <w:pPr>
        <w:pStyle w:val="AbstractHeading"/>
      </w:pPr>
      <w:r w:rsidRPr="0053441C">
        <w:t>Abstract</w:t>
      </w:r>
    </w:p>
    <w:p w14:paraId="68091540" w14:textId="46565445" w:rsidR="00C833BC" w:rsidRPr="0053441C" w:rsidRDefault="00DC513A" w:rsidP="00BA046B">
      <w:pPr>
        <w:pStyle w:val="AbstractText"/>
        <w:rPr>
          <w:b/>
        </w:rPr>
      </w:pPr>
      <w:r w:rsidRPr="00DC513A">
        <w:t>Finding ways for information worker</w:t>
      </w:r>
      <w:r w:rsidR="00EF2DB6">
        <w:t>s</w:t>
      </w:r>
      <w:r w:rsidRPr="00DC513A">
        <w:t xml:space="preserve"> to easily create and modify visualizations </w:t>
      </w:r>
      <w:r w:rsidR="00C71CA6">
        <w:t xml:space="preserve">that </w:t>
      </w:r>
      <w:r w:rsidRPr="00DC513A">
        <w:t>display their own data has been a long time goal within the visualization community. We describe Vis-à-vis, a declarative language for defining and extending vis</w:t>
      </w:r>
      <w:r w:rsidRPr="00DC513A">
        <w:t>u</w:t>
      </w:r>
      <w:r w:rsidRPr="00DC513A">
        <w:t>alizations directly within spreadsheets. Vis-a-</w:t>
      </w:r>
      <w:proofErr w:type="spellStart"/>
      <w:r w:rsidRPr="00DC513A">
        <w:t>vis</w:t>
      </w:r>
      <w:proofErr w:type="spellEnd"/>
      <w:r w:rsidRPr="00DC513A">
        <w:t xml:space="preserve"> allows users to directly bind data and formula to the visual attributes of an extensible set of visualization primitives. The visualizations that Vis-a-</w:t>
      </w:r>
      <w:proofErr w:type="spellStart"/>
      <w:r w:rsidRPr="00DC513A">
        <w:t>vis</w:t>
      </w:r>
      <w:proofErr w:type="spellEnd"/>
      <w:r w:rsidRPr="00DC513A">
        <w:t xml:space="preserve"> creates can be shared and modified easily, allo</w:t>
      </w:r>
      <w:r w:rsidRPr="00DC513A">
        <w:t>w</w:t>
      </w:r>
      <w:r w:rsidRPr="00DC513A">
        <w:t xml:space="preserve">ing users to modify existing visualizations. This approach allows users to select visualizations from a gallery, to customize them easily, or to create novel visualizations. The </w:t>
      </w:r>
      <w:r w:rsidRPr="00C97518">
        <w:t xml:space="preserve">approach leverages familiar formulas and data from spreadsheets. </w:t>
      </w:r>
      <w:proofErr w:type="gramStart"/>
      <w:r w:rsidRPr="00C97518">
        <w:t>We prototype a system that uses this language, and use it to build a number of standard and custom visualizations, and gather formative feedback from a small user study</w:t>
      </w:r>
      <w:r w:rsidR="000C58CC" w:rsidRPr="00C97518">
        <w:t>.</w:t>
      </w:r>
      <w:proofErr w:type="gramEnd"/>
    </w:p>
    <w:p w14:paraId="68091541" w14:textId="77777777" w:rsidR="00C833BC" w:rsidRPr="00C833BC" w:rsidRDefault="00C833BC" w:rsidP="00C833BC">
      <w:pPr>
        <w:spacing w:after="240"/>
        <w:ind w:left="284" w:right="397" w:firstLine="0"/>
        <w:rPr>
          <w:lang w:val="en-US"/>
        </w:rPr>
      </w:pPr>
      <w:r w:rsidRPr="00C7515E">
        <w:rPr>
          <w:lang w:val="en-US"/>
        </w:rPr>
        <w:t xml:space="preserve">Categories and Subject Descriptors (according to ACM CCS): </w:t>
      </w:r>
      <w:r w:rsidR="00FD0790" w:rsidRPr="00C7515E">
        <w:rPr>
          <w:lang w:val="en-US"/>
        </w:rPr>
        <w:t>H</w:t>
      </w:r>
      <w:r w:rsidRPr="00C7515E">
        <w:rPr>
          <w:lang w:val="en-US"/>
        </w:rPr>
        <w:t>.</w:t>
      </w:r>
      <w:r w:rsidR="00FD0790" w:rsidRPr="00C7515E">
        <w:rPr>
          <w:lang w:val="en-US"/>
        </w:rPr>
        <w:t>5.2</w:t>
      </w:r>
      <w:r w:rsidRPr="00C7515E">
        <w:rPr>
          <w:lang w:val="en-US"/>
        </w:rPr>
        <w:t xml:space="preserve"> [</w:t>
      </w:r>
      <w:r w:rsidR="00FD0790" w:rsidRPr="00C7515E">
        <w:rPr>
          <w:lang w:val="en-US"/>
        </w:rPr>
        <w:t>Information Interfaces and Presentation</w:t>
      </w:r>
      <w:r w:rsidRPr="00C7515E">
        <w:rPr>
          <w:lang w:val="en-US"/>
        </w:rPr>
        <w:t xml:space="preserve">]: </w:t>
      </w:r>
      <w:r w:rsidR="00FD0790" w:rsidRPr="00C7515E">
        <w:rPr>
          <w:lang w:val="en-US"/>
        </w:rPr>
        <w:t>User Inte</w:t>
      </w:r>
      <w:r w:rsidR="00FD0790" w:rsidRPr="00C7515E">
        <w:rPr>
          <w:lang w:val="en-US"/>
        </w:rPr>
        <w:t>r</w:t>
      </w:r>
      <w:r w:rsidR="00FD0790" w:rsidRPr="00C7515E">
        <w:rPr>
          <w:lang w:val="en-US"/>
        </w:rPr>
        <w:t>faces—Graphical User Interfaces (GUI).</w:t>
      </w:r>
      <w:r w:rsidR="00FD0790">
        <w:rPr>
          <w:lang w:val="en-US"/>
        </w:rPr>
        <w:t xml:space="preserve"> </w:t>
      </w:r>
      <w:r w:rsidRPr="00C833BC">
        <w:rPr>
          <w:lang w:val="en-US"/>
        </w:rPr>
        <w:t xml:space="preserve">  </w:t>
      </w:r>
    </w:p>
    <w:p w14:paraId="68091542" w14:textId="77777777" w:rsidR="00A63906" w:rsidRDefault="009416CA" w:rsidP="00493C0F">
      <w:pPr>
        <w:pBdr>
          <w:top w:val="single" w:sz="4" w:space="8" w:color="auto"/>
        </w:pBdr>
        <w:spacing w:after="0"/>
        <w:ind w:firstLine="0"/>
        <w:jc w:val="center"/>
        <w:rPr>
          <w:b/>
          <w:lang w:val="en-US"/>
        </w:rPr>
      </w:pPr>
      <w:r>
        <w:rPr>
          <w:noProof/>
          <w:lang w:val="en-US"/>
        </w:rPr>
        <w:drawing>
          <wp:inline distT="0" distB="0" distL="0" distR="0" wp14:anchorId="6809166C" wp14:editId="0CB03BC0">
            <wp:extent cx="4171189" cy="2952428"/>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8502" cy="2957604"/>
                    </a:xfrm>
                    <a:prstGeom prst="rect">
                      <a:avLst/>
                    </a:prstGeom>
                    <a:noFill/>
                    <a:ln>
                      <a:noFill/>
                    </a:ln>
                  </pic:spPr>
                </pic:pic>
              </a:graphicData>
            </a:graphic>
          </wp:inline>
        </w:drawing>
      </w:r>
    </w:p>
    <w:p w14:paraId="68091543" w14:textId="77777777" w:rsidR="00155605" w:rsidRPr="00493C0F" w:rsidRDefault="00155605" w:rsidP="00493C0F">
      <w:pPr>
        <w:pBdr>
          <w:top w:val="single" w:sz="4" w:space="8" w:color="auto"/>
        </w:pBdr>
        <w:spacing w:after="0"/>
        <w:ind w:firstLine="0"/>
        <w:jc w:val="center"/>
        <w:rPr>
          <w:b/>
          <w:i/>
          <w:lang w:val="en-US"/>
        </w:rPr>
      </w:pPr>
      <w:r w:rsidRPr="00493C0F">
        <w:rPr>
          <w:b/>
          <w:lang w:val="en-US"/>
        </w:rPr>
        <w:t xml:space="preserve">Figure 1: </w:t>
      </w:r>
      <w:r w:rsidR="00D802EC">
        <w:rPr>
          <w:i/>
          <w:lang w:val="en-US"/>
        </w:rPr>
        <w:t>Vis-à-vis</w:t>
      </w:r>
      <w:r w:rsidRPr="00493C0F">
        <w:rPr>
          <w:i/>
          <w:lang w:val="en-US"/>
        </w:rPr>
        <w:t xml:space="preserve"> in action. </w:t>
      </w:r>
      <w:r w:rsidR="00264CE1">
        <w:rPr>
          <w:i/>
          <w:lang w:val="en-US"/>
        </w:rPr>
        <w:t xml:space="preserve">The </w:t>
      </w:r>
      <w:r w:rsidR="00EB38A6" w:rsidRPr="00CC7F56">
        <w:rPr>
          <w:lang w:val="en-US"/>
        </w:rPr>
        <w:t>B</w:t>
      </w:r>
      <w:r w:rsidR="00264CE1" w:rsidRPr="00CC7F56">
        <w:rPr>
          <w:lang w:val="en-US"/>
        </w:rPr>
        <w:t xml:space="preserve">ubble </w:t>
      </w:r>
      <w:r w:rsidR="00EB38A6" w:rsidRPr="00CC7F56">
        <w:rPr>
          <w:lang w:val="en-US"/>
        </w:rPr>
        <w:t>C</w:t>
      </w:r>
      <w:r w:rsidR="00264CE1" w:rsidRPr="00CC7F56">
        <w:rPr>
          <w:lang w:val="en-US"/>
        </w:rPr>
        <w:t>hart</w:t>
      </w:r>
      <w:r w:rsidR="00264CE1" w:rsidRPr="00EB38A6">
        <w:rPr>
          <w:i/>
          <w:lang w:val="en-US"/>
        </w:rPr>
        <w:t xml:space="preserve"> </w:t>
      </w:r>
      <w:r w:rsidR="00EB38A6" w:rsidRPr="00EB38A6">
        <w:rPr>
          <w:i/>
          <w:lang w:val="en-US"/>
        </w:rPr>
        <w:t>style</w:t>
      </w:r>
      <w:r w:rsidR="00EB38A6">
        <w:rPr>
          <w:i/>
          <w:lang w:val="en-US"/>
        </w:rPr>
        <w:t xml:space="preserve"> uses four columns of data to specify color, size, and location for circles, which are all bound to variables and formulas. </w:t>
      </w:r>
      <w:r w:rsidR="00A63906">
        <w:rPr>
          <w:i/>
          <w:lang w:val="en-US"/>
        </w:rPr>
        <w:t xml:space="preserve"> (</w:t>
      </w:r>
      <w:r w:rsidR="0086711F">
        <w:rPr>
          <w:i/>
          <w:lang w:val="en-US"/>
        </w:rPr>
        <w:t>Chart</w:t>
      </w:r>
      <w:r w:rsidR="00A63906">
        <w:rPr>
          <w:i/>
          <w:lang w:val="en-US"/>
        </w:rPr>
        <w:t xml:space="preserve"> </w:t>
      </w:r>
      <w:r w:rsidR="0086711F">
        <w:rPr>
          <w:i/>
          <w:lang w:val="en-US"/>
        </w:rPr>
        <w:t xml:space="preserve">enlarged </w:t>
      </w:r>
      <w:r w:rsidR="00A63906">
        <w:rPr>
          <w:i/>
          <w:lang w:val="en-US"/>
        </w:rPr>
        <w:t>for clarity.)</w:t>
      </w:r>
    </w:p>
    <w:p w14:paraId="68091544" w14:textId="77777777" w:rsidR="00493C0F" w:rsidRPr="00493C0F" w:rsidRDefault="00493C0F" w:rsidP="00493C0F">
      <w:pPr>
        <w:pBdr>
          <w:top w:val="single" w:sz="4" w:space="8" w:color="auto"/>
        </w:pBdr>
        <w:spacing w:after="0"/>
        <w:ind w:firstLine="0"/>
        <w:jc w:val="center"/>
        <w:rPr>
          <w:i/>
          <w:lang w:val="en-US"/>
        </w:rPr>
      </w:pPr>
    </w:p>
    <w:p w14:paraId="68091545" w14:textId="77777777" w:rsidR="00C833BC" w:rsidRDefault="00C833BC" w:rsidP="00C833BC">
      <w:pPr>
        <w:pBdr>
          <w:top w:val="single" w:sz="4" w:space="8" w:color="auto"/>
        </w:pBdr>
        <w:spacing w:after="0"/>
        <w:rPr>
          <w:i/>
          <w:lang w:val="en-US"/>
        </w:rPr>
        <w:sectPr w:rsidR="00C833BC" w:rsidSect="002F639B">
          <w:footnotePr>
            <w:pos w:val="beneathText"/>
          </w:footnotePr>
          <w:type w:val="continuous"/>
          <w:pgSz w:w="11907" w:h="16840" w:code="9"/>
          <w:pgMar w:top="1411" w:right="1080" w:bottom="1411" w:left="1080" w:header="720" w:footer="720" w:gutter="0"/>
          <w:cols w:space="475"/>
        </w:sectPr>
      </w:pPr>
    </w:p>
    <w:p w14:paraId="68091546" w14:textId="77777777" w:rsidR="00C833BC" w:rsidRPr="00C97518" w:rsidRDefault="00C833BC" w:rsidP="0058362A">
      <w:pPr>
        <w:pStyle w:val="Heading1"/>
      </w:pPr>
      <w:r w:rsidRPr="00BA046B">
        <w:lastRenderedPageBreak/>
        <w:t>Introduction</w:t>
      </w:r>
    </w:p>
    <w:p w14:paraId="68091547" w14:textId="56131DED" w:rsidR="005346D7" w:rsidRDefault="005346D7" w:rsidP="003955A7">
      <w:pPr>
        <w:pStyle w:val="BodyTextNoIndent"/>
      </w:pPr>
      <w:r>
        <w:t xml:space="preserve">Currently, most spreadsheet systems including Microsoft Excel, Google Spreadsheets, and Open Office have limited extensibility mechanisms for visualizations. If a user desires a visualization that is not built in to the system, the user usually needs to resort to several non-optimal solutions. They can export the data and import it into another system such as R and </w:t>
      </w:r>
      <w:r w:rsidRPr="00884137">
        <w:rPr>
          <w:i/>
        </w:rPr>
        <w:t>ggplot</w:t>
      </w:r>
      <w:r>
        <w:t xml:space="preserve"> </w:t>
      </w:r>
      <w:r w:rsidR="008C504B">
        <w:t>[Wic09]</w:t>
      </w:r>
      <w:r>
        <w:t xml:space="preserve"> that supports their desired visualization, though that can require additional expertise and working styles separate from those with which they are familiar. Also, once the data has left the spreadsheet, the user may not be as comfortable exploring the data. </w:t>
      </w:r>
    </w:p>
    <w:p w14:paraId="68091548" w14:textId="6B2E7A20" w:rsidR="005346D7" w:rsidRDefault="005346D7" w:rsidP="009A5354">
      <w:pPr>
        <w:pStyle w:val="BodyTextIndent0"/>
      </w:pPr>
      <w:r>
        <w:t xml:space="preserve">Alternatively, they can export the data and write a visualization themselves, perhaps using a library such as </w:t>
      </w:r>
      <w:proofErr w:type="spellStart"/>
      <w:r>
        <w:t>Prefuse</w:t>
      </w:r>
      <w:proofErr w:type="spellEnd"/>
      <w:r>
        <w:t xml:space="preserve"> </w:t>
      </w:r>
      <w:r w:rsidR="00415B3C">
        <w:t>[HCL05]</w:t>
      </w:r>
      <w:r w:rsidR="009A65CB">
        <w:t>,</w:t>
      </w:r>
      <w:r>
        <w:t xml:space="preserve"> the </w:t>
      </w:r>
      <w:proofErr w:type="spellStart"/>
      <w:r>
        <w:t>Infovis</w:t>
      </w:r>
      <w:proofErr w:type="spellEnd"/>
      <w:r>
        <w:t xml:space="preserve"> Toolkit</w:t>
      </w:r>
      <w:r w:rsidR="001E7BF7">
        <w:t xml:space="preserve"> [Fek04]</w:t>
      </w:r>
      <w:r w:rsidR="00306CF3">
        <w:t xml:space="preserve"> </w:t>
      </w:r>
      <w:r>
        <w:t xml:space="preserve">or </w:t>
      </w:r>
      <w:proofErr w:type="spellStart"/>
      <w:r w:rsidR="001E7BF7">
        <w:t>Protovis</w:t>
      </w:r>
      <w:proofErr w:type="spellEnd"/>
      <w:r w:rsidR="001E7BF7">
        <w:t xml:space="preserve"> [BH09</w:t>
      </w:r>
      <w:r w:rsidR="00854506">
        <w:t xml:space="preserve">], </w:t>
      </w:r>
      <w:r>
        <w:t xml:space="preserve">though many </w:t>
      </w:r>
      <w:r>
        <w:lastRenderedPageBreak/>
        <w:t xml:space="preserve">knowledge workers may not have the coding expertise or the willingness to build new visualizations even given such assistance. </w:t>
      </w:r>
    </w:p>
    <w:p w14:paraId="68091549" w14:textId="77777777" w:rsidR="005346D7" w:rsidRDefault="005346D7" w:rsidP="009A5354">
      <w:pPr>
        <w:pStyle w:val="BodyTextIndent0"/>
      </w:pPr>
      <w:r>
        <w:t>If they are fortunate, they can find an add-in which supports the visualization they desire, though that can have security and privacy implications.</w:t>
      </w:r>
    </w:p>
    <w:p w14:paraId="6809154A" w14:textId="4E38FF5E" w:rsidR="005346D7" w:rsidRDefault="005346D7" w:rsidP="009A5354">
      <w:pPr>
        <w:pStyle w:val="BodyTextIndent0"/>
      </w:pPr>
      <w:r>
        <w:t>Vis-à-vis is a system that allows conventional and novel visualizations to be built within the spreadsheet using common spreadsheet metaphors. By leveraging spreadsheet concepts and basic direct manipulation capabilities, we can greatly increase the kinds of visualizations that can be incorporated into spreadsheets without resorting to new programming APIs or toolkits.</w:t>
      </w:r>
      <w:r w:rsidR="008A1F46">
        <w:t xml:space="preserve"> Spreadsheets are a familiar context for computation and end-user pr</w:t>
      </w:r>
      <w:r w:rsidR="008A1F46">
        <w:t>o</w:t>
      </w:r>
      <w:r w:rsidR="008A1F46">
        <w:t>gramming</w:t>
      </w:r>
      <w:r w:rsidR="009D7C7E">
        <w:t xml:space="preserve"> [ABE09].</w:t>
      </w:r>
    </w:p>
    <w:p w14:paraId="6809154B" w14:textId="17F7EDF1" w:rsidR="00F92CA5" w:rsidRDefault="005346D7" w:rsidP="009A5354">
      <w:pPr>
        <w:pStyle w:val="BodyTextIndent0"/>
      </w:pPr>
      <w:r>
        <w:t xml:space="preserve">The approach presented here is inspired by the declarative style in such systems as the Grammar of Graphics, </w:t>
      </w:r>
      <w:proofErr w:type="spellStart"/>
      <w:r w:rsidR="005029CB">
        <w:t>Protovis</w:t>
      </w:r>
      <w:proofErr w:type="spellEnd"/>
      <w:r>
        <w:t xml:space="preserve">, and </w:t>
      </w:r>
      <w:proofErr w:type="spellStart"/>
      <w:r>
        <w:t>ggplot</w:t>
      </w:r>
      <w:proofErr w:type="spellEnd"/>
      <w:r>
        <w:t>. Vis-à-vis</w:t>
      </w:r>
      <w:r w:rsidR="00DD6CBB">
        <w:t xml:space="preserve"> tightly couples </w:t>
      </w:r>
      <w:r>
        <w:t xml:space="preserve">the cells of a spreadsheet </w:t>
      </w:r>
      <w:r w:rsidR="00DD6CBB">
        <w:t xml:space="preserve">to the </w:t>
      </w:r>
      <w:r>
        <w:lastRenderedPageBreak/>
        <w:t xml:space="preserve">attributes of graphical marks in the visualization using the same kind of formulas already familiar to spreadsheet users. Changes in cells and </w:t>
      </w:r>
      <w:r w:rsidR="00EF250F">
        <w:t xml:space="preserve">formulae </w:t>
      </w:r>
      <w:r>
        <w:t>are reflected instantly</w:t>
      </w:r>
      <w:r w:rsidR="005E5C99">
        <w:t>,</w:t>
      </w:r>
      <w:r>
        <w:t xml:space="preserve"> allowing an incremental working style for creating and modifying visualizations. The coupling can be saved as a ‘visual style’</w:t>
      </w:r>
      <w:r w:rsidR="009D7C7E">
        <w:tab/>
      </w:r>
      <w:r>
        <w:t xml:space="preserve"> and subs</w:t>
      </w:r>
      <w:r>
        <w:t>e</w:t>
      </w:r>
      <w:r>
        <w:t>quently be reapplied or modified so that end-users can base vis</w:t>
      </w:r>
      <w:r>
        <w:t>u</w:t>
      </w:r>
      <w:r>
        <w:t xml:space="preserve">alizations on an existing visual style or combine multiple styles together. In fact, most of the time, they might use these pre-authored styles for constructing their visualizations, but the formulas that map data to visual attributes in these styles are discoverable and modifiable so that a user can specialize the appearance of the visualization for their </w:t>
      </w:r>
      <w:r w:rsidR="00466448">
        <w:t>own</w:t>
      </w:r>
      <w:r>
        <w:t xml:space="preserve"> needs.</w:t>
      </w:r>
    </w:p>
    <w:p w14:paraId="6809154C" w14:textId="3C3800A7" w:rsidR="00867AD8" w:rsidRDefault="00867AD8" w:rsidP="009A5354">
      <w:pPr>
        <w:pStyle w:val="BodyTextIndent0"/>
      </w:pPr>
      <w:r>
        <w:t xml:space="preserve">The primary contribution of this work is </w:t>
      </w:r>
      <w:r w:rsidR="00260246">
        <w:t xml:space="preserve">an end-user programming environment that maps </w:t>
      </w:r>
      <w:r>
        <w:t xml:space="preserve">the spreadsheet paradigm of cells and </w:t>
      </w:r>
      <w:r w:rsidR="00260246">
        <w:t xml:space="preserve">formulae </w:t>
      </w:r>
      <w:r>
        <w:t>to visualizations by the use of visual styles. When a particular visualization is not available</w:t>
      </w:r>
      <w:r w:rsidR="009D0F74">
        <w:t xml:space="preserve">, </w:t>
      </w:r>
      <w:r>
        <w:t xml:space="preserve">users </w:t>
      </w:r>
      <w:r w:rsidR="00981E60">
        <w:t>do not need to e</w:t>
      </w:r>
      <w:r w:rsidR="00981E60">
        <w:t>x</w:t>
      </w:r>
      <w:r w:rsidR="00981E60">
        <w:t>port</w:t>
      </w:r>
      <w:r>
        <w:t xml:space="preserve"> their data from the spreadsheet into another system: they can find it from a gallery of shared visualizations; modify it from an existing visualization; or build it within the spreadsheet enviro</w:t>
      </w:r>
      <w:r>
        <w:t>n</w:t>
      </w:r>
      <w:r>
        <w:t xml:space="preserve">ment themselves. </w:t>
      </w:r>
    </w:p>
    <w:p w14:paraId="6809154D" w14:textId="77777777" w:rsidR="002F639B" w:rsidRPr="0068288C" w:rsidRDefault="002F639B" w:rsidP="00BA046B">
      <w:pPr>
        <w:pStyle w:val="Heading1"/>
      </w:pPr>
      <w:r>
        <w:t>Related Literature</w:t>
      </w:r>
    </w:p>
    <w:p w14:paraId="6809154E" w14:textId="22B6A9AE" w:rsidR="002F639B" w:rsidRDefault="002F639B" w:rsidP="003955A7">
      <w:pPr>
        <w:pStyle w:val="BodyTextNoIndent"/>
      </w:pPr>
      <w:r>
        <w:t xml:space="preserve">Vis-à-vis blends concepts from drawing systems and </w:t>
      </w:r>
      <w:r w:rsidR="00D27082">
        <w:t xml:space="preserve">spreadsheet </w:t>
      </w:r>
      <w:r>
        <w:t xml:space="preserve">tools. In this section, we discuss </w:t>
      </w:r>
      <w:r w:rsidR="008C34AF">
        <w:t>several of the techniques and technologies that have inspired its design</w:t>
      </w:r>
      <w:r>
        <w:t>.</w:t>
      </w:r>
      <w:r w:rsidR="00CE0A4B">
        <w:t xml:space="preserve"> </w:t>
      </w:r>
      <w:r w:rsidR="0085228E">
        <w:t xml:space="preserve">We begin by discussing a brief history of linking visualizations within spreadsheets. We then discuss two </w:t>
      </w:r>
      <w:r w:rsidR="00996287">
        <w:t xml:space="preserve">different </w:t>
      </w:r>
      <w:r w:rsidR="00D054D3">
        <w:t>strate</w:t>
      </w:r>
      <w:r w:rsidR="0085228E">
        <w:t xml:space="preserve">gies for visualization: </w:t>
      </w:r>
      <w:r w:rsidR="00D054D3">
        <w:t xml:space="preserve"> </w:t>
      </w:r>
      <w:r w:rsidR="0085228E">
        <w:t xml:space="preserve">one </w:t>
      </w:r>
      <w:r w:rsidR="00D054D3">
        <w:t>uses data binding to tie data to underlying object states</w:t>
      </w:r>
      <w:r w:rsidR="0085228E">
        <w:t>; the other uses direct manipulation</w:t>
      </w:r>
      <w:r w:rsidR="00D054D3">
        <w:t>.</w:t>
      </w:r>
      <w:r w:rsidR="00813979">
        <w:t xml:space="preserve"> </w:t>
      </w:r>
    </w:p>
    <w:p w14:paraId="54B38969" w14:textId="77777777" w:rsidR="006B72E3" w:rsidRPr="00D57D4C" w:rsidRDefault="006B72E3" w:rsidP="006B72E3">
      <w:pPr>
        <w:pStyle w:val="Heading2"/>
      </w:pPr>
      <w:r>
        <w:t xml:space="preserve">Incorporating </w:t>
      </w:r>
      <w:r w:rsidRPr="00D57D4C">
        <w:t>visualizations in spreadsheets</w:t>
      </w:r>
    </w:p>
    <w:p w14:paraId="06AB6A46" w14:textId="77777777" w:rsidR="006B72E3" w:rsidRDefault="006B72E3" w:rsidP="006B72E3">
      <w:pPr>
        <w:pStyle w:val="BodyTextNoIndent"/>
      </w:pPr>
      <w:r w:rsidRPr="00D57D4C">
        <w:t xml:space="preserve">Spreadsheets and visualizations have a long history: spreadsheets have been used to store the data that the visualization will use, of course, and so make a natural place to host visualizations. (Conversely, many visualization packages provide a datasheet view of the data.) </w:t>
      </w:r>
    </w:p>
    <w:p w14:paraId="7918ACD5" w14:textId="5C6B5175" w:rsidR="006B72E3" w:rsidRDefault="006B72E3" w:rsidP="009A5354">
      <w:pPr>
        <w:pStyle w:val="BodyTextIndent0"/>
      </w:pPr>
      <w:r>
        <w:t xml:space="preserve">Several systems have provided black-box visualization tools. </w:t>
      </w:r>
      <w:proofErr w:type="spellStart"/>
      <w:r w:rsidRPr="00D57D4C">
        <w:t>WebCharts</w:t>
      </w:r>
      <w:proofErr w:type="spellEnd"/>
      <w:r w:rsidR="00EB342F">
        <w:t xml:space="preserve"> [FDF*10] </w:t>
      </w:r>
      <w:r w:rsidRPr="00D57D4C">
        <w:t xml:space="preserve">allows users to dynamically add visualizations to spreadsheets; however, those visualizations needed to be created in a separate program. Similarly, </w:t>
      </w:r>
      <w:proofErr w:type="spellStart"/>
      <w:r w:rsidRPr="00D57D4C">
        <w:t>IntelligentPad</w:t>
      </w:r>
      <w:proofErr w:type="spellEnd"/>
      <w:r w:rsidRPr="00D57D4C">
        <w:t xml:space="preserve"> and </w:t>
      </w:r>
      <w:proofErr w:type="spellStart"/>
      <w:r w:rsidRPr="00D57D4C">
        <w:t>Inte</w:t>
      </w:r>
      <w:r w:rsidRPr="00D57D4C">
        <w:t>l</w:t>
      </w:r>
      <w:r w:rsidRPr="00D57D4C">
        <w:t>ligentBox</w:t>
      </w:r>
      <w:proofErr w:type="spellEnd"/>
      <w:r w:rsidR="007F050E">
        <w:t xml:space="preserve"> [IT09]</w:t>
      </w:r>
      <w:r w:rsidRPr="00D57D4C">
        <w:t xml:space="preserve"> allow users to inject data from Excel into web-based 3D visualization services. None of these systems had a buil</w:t>
      </w:r>
      <w:r>
        <w:t>t-in way to edit visualizations and all of these systems treat the visualizations essentially as ‘black boxes’ which are passed data from the spreadsheet and use pre-authored code to create a visualization. Vis-à-vis chooses to expose the building blocks so that people can re-use or significantly alter an existing visualiz</w:t>
      </w:r>
      <w:r>
        <w:t>a</w:t>
      </w:r>
      <w:r>
        <w:t>tion, or build a new one from scratch.</w:t>
      </w:r>
    </w:p>
    <w:p w14:paraId="42AB6A6E" w14:textId="0A5F0C65" w:rsidR="006B72E3" w:rsidRDefault="006B72E3" w:rsidP="009A5354">
      <w:pPr>
        <w:pStyle w:val="BodyTextIndent0"/>
      </w:pPr>
      <w:r>
        <w:t xml:space="preserve">A different tradition of research has created spreadsheets </w:t>
      </w:r>
      <w:r>
        <w:rPr>
          <w:i/>
        </w:rPr>
        <w:t xml:space="preserve">of </w:t>
      </w:r>
      <w:r>
        <w:t xml:space="preserve">visualizations. </w:t>
      </w:r>
      <w:proofErr w:type="spellStart"/>
      <w:r>
        <w:t>Piersol’s</w:t>
      </w:r>
      <w:proofErr w:type="spellEnd"/>
      <w:r>
        <w:t xml:space="preserve"> ASP [P</w:t>
      </w:r>
      <w:r w:rsidR="002710F7">
        <w:t>ie86</w:t>
      </w:r>
      <w:r>
        <w:t xml:space="preserve">], </w:t>
      </w:r>
      <w:proofErr w:type="spellStart"/>
      <w:r>
        <w:t>Levoy’s</w:t>
      </w:r>
      <w:proofErr w:type="spellEnd"/>
      <w:r>
        <w:t xml:space="preserve"> </w:t>
      </w:r>
      <w:r>
        <w:rPr>
          <w:i/>
        </w:rPr>
        <w:t xml:space="preserve">SI </w:t>
      </w:r>
      <w:r>
        <w:t>[</w:t>
      </w:r>
      <w:r w:rsidR="00F505B5">
        <w:t>Lev90</w:t>
      </w:r>
      <w:r>
        <w:t xml:space="preserve">] and Chi </w:t>
      </w:r>
      <w:r>
        <w:rPr>
          <w:i/>
        </w:rPr>
        <w:t xml:space="preserve">et </w:t>
      </w:r>
      <w:proofErr w:type="spellStart"/>
      <w:r>
        <w:rPr>
          <w:i/>
        </w:rPr>
        <w:t>al’s</w:t>
      </w:r>
      <w:proofErr w:type="spellEnd"/>
      <w:r>
        <w:rPr>
          <w:i/>
        </w:rPr>
        <w:t xml:space="preserve"> </w:t>
      </w:r>
      <w:r>
        <w:t>SIV [</w:t>
      </w:r>
      <w:r w:rsidR="00E4707A">
        <w:t>CRB*98</w:t>
      </w:r>
      <w:r>
        <w:t>] incorporate spreadsheets with visualization, albeit in a very different perspective. SIV allows users to create a matrix of visualizations by using formulas to invoke the spreadsheet. For each cell, a user can select both the visualization that will fill the cell, and the formula that defines the data that goes within that cell. This makes it very easy to compare small-multiple views with different data or different parameters, or to create multiple views of the same data. Vis-à-vis, in contrast, is designed to simplify the creation of a single visualization, al</w:t>
      </w:r>
      <w:r>
        <w:t>t</w:t>
      </w:r>
      <w:r>
        <w:t xml:space="preserve">hough it can be used to create small multiples. In </w:t>
      </w:r>
      <w:proofErr w:type="spellStart"/>
      <w:r>
        <w:t>TableLens</w:t>
      </w:r>
      <w:proofErr w:type="spellEnd"/>
      <w:r>
        <w:t xml:space="preserve"> [</w:t>
      </w:r>
      <w:r w:rsidR="002F55F1">
        <w:t>RC94</w:t>
      </w:r>
      <w:r>
        <w:t xml:space="preserve">], the spreadsheet itself </w:t>
      </w:r>
      <w:r>
        <w:rPr>
          <w:i/>
        </w:rPr>
        <w:t>is</w:t>
      </w:r>
      <w:r>
        <w:t xml:space="preserve"> the visualization: cells that are out of focus are summarized as bars or dots, so that groups of cells can be looked at as small charts.</w:t>
      </w:r>
    </w:p>
    <w:p w14:paraId="354FE357" w14:textId="77777777" w:rsidR="006B72E3" w:rsidRDefault="006B72E3" w:rsidP="009A5354">
      <w:pPr>
        <w:pStyle w:val="BodyTextIndent0"/>
      </w:pPr>
    </w:p>
    <w:p w14:paraId="3D7E3E39" w14:textId="77777777" w:rsidR="006153B4" w:rsidRPr="00D57D4C" w:rsidRDefault="006153B4" w:rsidP="006153B4">
      <w:pPr>
        <w:pStyle w:val="Heading2"/>
      </w:pPr>
      <w:r>
        <w:lastRenderedPageBreak/>
        <w:t>Direct manipulation and visualizations</w:t>
      </w:r>
    </w:p>
    <w:p w14:paraId="2F25F82F" w14:textId="454D17E1" w:rsidR="006153B4" w:rsidRPr="00D57D4C" w:rsidRDefault="006153B4" w:rsidP="009A5354">
      <w:pPr>
        <w:pStyle w:val="BodyTextIndent0"/>
      </w:pPr>
      <w:r>
        <w:t xml:space="preserve">In order to get visualizations that look exactly as the end-user desires, many systems allow rapid updating based on data and the ability to select parts of the visualization and change attributes such as line color, width, and style. To date, direct manipulation has primarily been limited to changing these visual attributes, though some systems have been built that directly supported users in drawing data visualizations. One such system, </w:t>
      </w:r>
      <w:proofErr w:type="spellStart"/>
      <w:r>
        <w:t>GraphSketcher</w:t>
      </w:r>
      <w:proofErr w:type="spellEnd"/>
      <w:r w:rsidR="00FB2DCC">
        <w:t xml:space="preserve"> [SS09]</w:t>
      </w:r>
      <w:r>
        <w:t xml:space="preserve"> allows </w:t>
      </w:r>
      <w:r w:rsidRPr="00D57D4C">
        <w:t>users to sketch graphs and diagrams</w:t>
      </w:r>
      <w:r>
        <w:t xml:space="preserve">; </w:t>
      </w:r>
      <w:proofErr w:type="spellStart"/>
      <w:r w:rsidRPr="00D57D4C">
        <w:t>GraphSketcher</w:t>
      </w:r>
      <w:proofErr w:type="spellEnd"/>
      <w:r w:rsidRPr="00D57D4C">
        <w:t xml:space="preserve"> tracks where users have placed edges, and maintains these as constraints: for example, if a user draws two crossed lines over a given point on the axis, those lines will r</w:t>
      </w:r>
      <w:r w:rsidRPr="00D57D4C">
        <w:t>e</w:t>
      </w:r>
      <w:r w:rsidRPr="00D57D4C">
        <w:t xml:space="preserve">main crossed at that point even if the axis is shifted or moved. </w:t>
      </w:r>
      <w:proofErr w:type="spellStart"/>
      <w:r w:rsidRPr="00D57D4C">
        <w:t>GraphSketcher</w:t>
      </w:r>
      <w:proofErr w:type="spellEnd"/>
      <w:r w:rsidRPr="00D57D4C">
        <w:t xml:space="preserve"> has only a limited notion of data, and cannot be linked to data sources</w:t>
      </w:r>
      <w:r>
        <w:t>, and is primarily focused on line charts.</w:t>
      </w:r>
    </w:p>
    <w:p w14:paraId="5EAEF6FE" w14:textId="77777777" w:rsidR="006153B4" w:rsidRDefault="006153B4" w:rsidP="009A5354">
      <w:pPr>
        <w:pStyle w:val="BodyTextIndent0"/>
      </w:pPr>
      <w:r w:rsidRPr="00D57D4C">
        <w:t xml:space="preserve">Commercial tools like Microsoft Visio and Adobe Illustrator both allow users to create drawings, including data visualizations. In Illustrator, though, the process is </w:t>
      </w:r>
      <w:r>
        <w:t xml:space="preserve">limited; only a few visualizations are supported, and changes to the data do not automatically update the visualization. </w:t>
      </w:r>
      <w:r w:rsidRPr="00D57D4C">
        <w:t>Visio can allow shapes to be bound to data and formulas, but the interface is not optimized for general visualizations.</w:t>
      </w:r>
    </w:p>
    <w:p w14:paraId="68091559" w14:textId="77A61155" w:rsidR="002F639B" w:rsidRPr="00D57D4C" w:rsidRDefault="002F639B" w:rsidP="00A0138C">
      <w:pPr>
        <w:pStyle w:val="Heading2"/>
      </w:pPr>
      <w:r w:rsidRPr="00D57D4C">
        <w:t>Data-Bound Drawings</w:t>
      </w:r>
    </w:p>
    <w:p w14:paraId="6809155A" w14:textId="487CC767" w:rsidR="002F639B" w:rsidRPr="00D57D4C" w:rsidRDefault="002F639B" w:rsidP="009A5354">
      <w:pPr>
        <w:pStyle w:val="BodyTextIndent0"/>
      </w:pPr>
      <w:r w:rsidRPr="00D57D4C">
        <w:t xml:space="preserve">Vis-à-vis is </w:t>
      </w:r>
      <w:r w:rsidR="001471CB">
        <w:t xml:space="preserve">based on the idea of using data to generate visual objects. In this, it draws from </w:t>
      </w:r>
      <w:r w:rsidRPr="00D57D4C">
        <w:t xml:space="preserve">the SAGE family of tools from the mid-1990s, including </w:t>
      </w:r>
      <w:proofErr w:type="spellStart"/>
      <w:r w:rsidRPr="00D57D4C">
        <w:t>SageBrush</w:t>
      </w:r>
      <w:proofErr w:type="spellEnd"/>
      <w:r w:rsidRPr="00D57D4C">
        <w:t xml:space="preserve"> and </w:t>
      </w:r>
      <w:proofErr w:type="spellStart"/>
      <w:r w:rsidRPr="00D57D4C">
        <w:t>SageBook</w:t>
      </w:r>
      <w:proofErr w:type="spellEnd"/>
      <w:r w:rsidR="00266463">
        <w:t xml:space="preserve"> </w:t>
      </w:r>
      <w:r w:rsidR="00D1491D">
        <w:t>[</w:t>
      </w:r>
      <w:r w:rsidR="00DB0E26">
        <w:t>RKM*94]</w:t>
      </w:r>
      <w:r w:rsidRPr="00D57D4C">
        <w:t>. While the original SAGE, like APT</w:t>
      </w:r>
      <w:r>
        <w:t xml:space="preserve"> </w:t>
      </w:r>
      <w:r w:rsidR="00266463">
        <w:t xml:space="preserve">[Mac86] </w:t>
      </w:r>
      <w:r w:rsidRPr="00D57D4C">
        <w:t xml:space="preserve">attempts to create visualizations automatically based on a dataset, </w:t>
      </w:r>
      <w:proofErr w:type="spellStart"/>
      <w:r w:rsidRPr="00D57D4C">
        <w:t>SageBrush</w:t>
      </w:r>
      <w:proofErr w:type="spellEnd"/>
      <w:r w:rsidRPr="00D57D4C">
        <w:t xml:space="preserve"> allows users to guide its process. Users can drag drawing objects—text boxes, shapes, and lines—onto the canvas. If the user does not specify bindings, the system will automatically select and generate a coordinate system, using SAGE, but taking the drawing objects as constraints.  </w:t>
      </w:r>
    </w:p>
    <w:p w14:paraId="6809155B" w14:textId="77777777" w:rsidR="002F639B" w:rsidRPr="00D57D4C" w:rsidRDefault="002F639B" w:rsidP="009A5354">
      <w:pPr>
        <w:pStyle w:val="BodyTextIndent0"/>
      </w:pPr>
      <w:r w:rsidRPr="00D57D4C">
        <w:t xml:space="preserve">The user can bind attributes of these objects to data: for example, they might specify that the y-coordinate of a shape be bound to a particular column of data. When SAGE attempts to lay out the diagram, it will start by both using these drawn objects, and with the y-coordinate assigned to the data value. </w:t>
      </w:r>
      <w:proofErr w:type="spellStart"/>
      <w:r w:rsidRPr="00D57D4C">
        <w:t>SageBook</w:t>
      </w:r>
      <w:proofErr w:type="spellEnd"/>
      <w:r w:rsidRPr="00D57D4C">
        <w:t xml:space="preserve"> allows users to share their created visualizations; collaborators can then apply their own data to the visualization.</w:t>
      </w:r>
    </w:p>
    <w:p w14:paraId="6809155C" w14:textId="77777777" w:rsidR="002F639B" w:rsidRDefault="002F639B" w:rsidP="009A5354">
      <w:pPr>
        <w:pStyle w:val="BodyTextIndent0"/>
      </w:pPr>
      <w:r w:rsidRPr="00D57D4C">
        <w:t xml:space="preserve">Vis-à-vis shares many of these concepts. Like </w:t>
      </w:r>
      <w:proofErr w:type="spellStart"/>
      <w:r w:rsidRPr="00D57D4C">
        <w:t>SageBrush</w:t>
      </w:r>
      <w:proofErr w:type="spellEnd"/>
      <w:r w:rsidRPr="00D57D4C">
        <w:t xml:space="preserve">, Vis-à-vis allows users to create visualizations through a template model. Vis-à-vis does not attempt to automatically assign metadata fields, preferring to give users full control over how their objects are placed on the canvas. In </w:t>
      </w:r>
      <w:proofErr w:type="spellStart"/>
      <w:r w:rsidRPr="00D57D4C">
        <w:t>SageBrush</w:t>
      </w:r>
      <w:proofErr w:type="spellEnd"/>
      <w:r w:rsidRPr="00D57D4C">
        <w:t xml:space="preserve">, users place objects onto a template canvas which controls the visualization; in contrast, Vis-à-vis, has users place objects directly onto the same canvas on which they will be visualized: the canvas </w:t>
      </w:r>
      <w:r w:rsidRPr="00D57D4C">
        <w:rPr>
          <w:i/>
        </w:rPr>
        <w:t>is</w:t>
      </w:r>
      <w:r w:rsidRPr="00D57D4C">
        <w:t xml:space="preserve"> the display surface. Lastly, many data fields require transformation before they are ready to be visualize</w:t>
      </w:r>
      <w:r>
        <w:t xml:space="preserve">d; Vis-à-vis includes equations in the form of spreadsheet formulas </w:t>
      </w:r>
      <w:r w:rsidRPr="00D57D4C">
        <w:t>very naturally, without creating auxiliary data fields.</w:t>
      </w:r>
    </w:p>
    <w:p w14:paraId="6809155D" w14:textId="09A71AE4" w:rsidR="002F639B" w:rsidRDefault="002F639B" w:rsidP="009A5354">
      <w:pPr>
        <w:pStyle w:val="BodyTextIndent0"/>
      </w:pPr>
      <w:r>
        <w:t xml:space="preserve">Like </w:t>
      </w:r>
      <w:proofErr w:type="spellStart"/>
      <w:r>
        <w:t>SageBrush</w:t>
      </w:r>
      <w:proofErr w:type="spellEnd"/>
      <w:r>
        <w:t>, Improvise</w:t>
      </w:r>
      <w:r w:rsidR="00AB5C7D">
        <w:t xml:space="preserve"> [Wea04]</w:t>
      </w:r>
      <w:r>
        <w:t xml:space="preserve"> allow</w:t>
      </w:r>
      <w:r w:rsidR="00AB5C7D">
        <w:t>s</w:t>
      </w:r>
      <w:r>
        <w:t xml:space="preserve"> mapping of data to visual attributes using interpreted or compiled code though not in a spreadsheet environment or using spreadsheet metaphors.</w:t>
      </w:r>
    </w:p>
    <w:p w14:paraId="04DD912E" w14:textId="05F37309" w:rsidR="000B0C2D" w:rsidRDefault="000B0C2D" w:rsidP="009A5354">
      <w:pPr>
        <w:pStyle w:val="BodyTextIndent0"/>
      </w:pPr>
      <w:proofErr w:type="spellStart"/>
      <w:r>
        <w:t>NoPump</w:t>
      </w:r>
      <w:r w:rsidR="006C0486">
        <w:t>G</w:t>
      </w:r>
      <w:proofErr w:type="spellEnd"/>
      <w:r>
        <w:t xml:space="preserve"> </w:t>
      </w:r>
      <w:r w:rsidR="009E7787">
        <w:t>[Lew90</w:t>
      </w:r>
      <w:r>
        <w:t>]</w:t>
      </w:r>
      <w:r w:rsidR="00850A32">
        <w:t xml:space="preserve"> </w:t>
      </w:r>
      <w:r w:rsidR="00F83F0D">
        <w:t xml:space="preserve">allows users to create visualizations within spreadsheets. </w:t>
      </w:r>
      <w:r w:rsidR="00DD4CD7">
        <w:t>Users place controls, and then bind the visualization to cells, which contain names and formulae. For example, the cell “</w:t>
      </w:r>
      <w:proofErr w:type="spellStart"/>
      <w:r w:rsidR="00DD4CD7">
        <w:t>line.y</w:t>
      </w:r>
      <w:proofErr w:type="spellEnd"/>
      <w:r w:rsidR="00DD4CD7">
        <w:t>” (meaning the y attribute of the line) might be bound to the formula “y0+y”, meaning the values of the cells “y0” and “y”. While this system uses cells and formulas, it loses its ability to act as a spreadsheet: there is no structure enabling users to work on parallel operations or multiple items of data at once</w:t>
      </w:r>
      <w:r w:rsidR="00C83E5F">
        <w:t>, nor to use relative addressing</w:t>
      </w:r>
      <w:r w:rsidR="00DD4CD7">
        <w:t>.</w:t>
      </w:r>
      <w:r w:rsidR="008B0486">
        <w:t xml:space="preserve"> Vis-à-vis uses a true sprea</w:t>
      </w:r>
      <w:r w:rsidR="008B0486">
        <w:t>d</w:t>
      </w:r>
      <w:r w:rsidR="008B0486">
        <w:t xml:space="preserve">sheet to enable </w:t>
      </w:r>
      <w:r w:rsidR="00C83E5F">
        <w:t xml:space="preserve">this sort of </w:t>
      </w:r>
      <w:r w:rsidR="008B0486">
        <w:t>structured behavior.</w:t>
      </w:r>
    </w:p>
    <w:p w14:paraId="5B0BDC19" w14:textId="1D6385C3" w:rsidR="00382F02" w:rsidRPr="00D57D4C" w:rsidRDefault="00382F02" w:rsidP="009A5354">
      <w:pPr>
        <w:pStyle w:val="BodyTextIndent0"/>
      </w:pPr>
      <w:r>
        <w:lastRenderedPageBreak/>
        <w:t>Vis-à-vis allows for direct manipulation of items, which can then be encapsulated in visual styles that can be reused within a single and across multiple visualizations.</w:t>
      </w:r>
    </w:p>
    <w:p w14:paraId="68091560" w14:textId="77777777" w:rsidR="002F639B" w:rsidRPr="00D57D4C" w:rsidRDefault="002F639B" w:rsidP="00BA046B">
      <w:pPr>
        <w:pStyle w:val="Heading1"/>
      </w:pPr>
      <w:r>
        <w:t xml:space="preserve">The Design of Vis-à-vis </w:t>
      </w:r>
    </w:p>
    <w:p w14:paraId="68091561" w14:textId="77777777" w:rsidR="002F639B" w:rsidRPr="00D57D4C" w:rsidRDefault="002F639B" w:rsidP="002D53D9">
      <w:pPr>
        <w:pStyle w:val="BodyTextNoIndent"/>
      </w:pPr>
      <w:r w:rsidRPr="00D57D4C">
        <w:t>Vis-à-vis is meant to find one possible balance point that trades off the relative advantages of writing raw code, using a drawing program and using the techniques already familiar to most spreadsheet users – formulas based on cells within the spreadsheet.</w:t>
      </w:r>
    </w:p>
    <w:p w14:paraId="68091562" w14:textId="77777777" w:rsidR="002F639B" w:rsidRPr="00D57D4C" w:rsidRDefault="002F639B" w:rsidP="009613DE">
      <w:pPr>
        <w:pStyle w:val="Heading2"/>
      </w:pPr>
      <w:r w:rsidRPr="00D57D4C">
        <w:t>Tradeoffs of Visualization Systems</w:t>
      </w:r>
    </w:p>
    <w:p w14:paraId="68091563" w14:textId="77777777" w:rsidR="002F639B" w:rsidRPr="00D57D4C" w:rsidRDefault="002F639B" w:rsidP="002D53D9">
      <w:pPr>
        <w:pStyle w:val="BodyTextNoIndent"/>
        <w:rPr>
          <w:i/>
        </w:rPr>
      </w:pPr>
      <w:r w:rsidRPr="003462C7">
        <w:t>In</w:t>
      </w:r>
      <w:r w:rsidRPr="00D57D4C">
        <w:t xml:space="preserve"> the literature </w:t>
      </w:r>
      <w:r w:rsidRPr="003462C7">
        <w:t>section</w:t>
      </w:r>
      <w:r w:rsidRPr="00D57D4C">
        <w:t>, we began to identify important issues in designing a visualization system. Here, we examine these attributes in more detail. We compare them, in general, between systems based on writing code, drawing programs, and packaged visualizations, such as spreadsheets or desktop applications. Our design is intended to allow Vis-à-vis to balance these attributes:</w:t>
      </w:r>
    </w:p>
    <w:p w14:paraId="68091564" w14:textId="77777777" w:rsidR="002F639B" w:rsidRPr="00D57D4C" w:rsidRDefault="002F639B" w:rsidP="009A5354">
      <w:pPr>
        <w:pStyle w:val="BodyTextIndent0"/>
      </w:pPr>
      <w:r w:rsidRPr="00D57D4C">
        <w:rPr>
          <w:i/>
        </w:rPr>
        <w:t xml:space="preserve">Flexible: </w:t>
      </w:r>
      <w:r w:rsidRPr="00D57D4C">
        <w:t xml:space="preserve">A flexible toolkit gives </w:t>
      </w:r>
      <w:proofErr w:type="gramStart"/>
      <w:r w:rsidRPr="00D57D4C">
        <w:t>a user choices</w:t>
      </w:r>
      <w:proofErr w:type="gramEnd"/>
      <w:r w:rsidRPr="00D57D4C">
        <w:t xml:space="preserve"> in developing a visualization. While different tools provide different degrees of customizability, here we mainly distinguish between tools that have a </w:t>
      </w:r>
      <w:r>
        <w:t>fixed</w:t>
      </w:r>
      <w:r w:rsidRPr="00D57D4C">
        <w:t xml:space="preserve"> set of visualizations, and those that allow users to create or share a broader set.</w:t>
      </w:r>
    </w:p>
    <w:p w14:paraId="68091565" w14:textId="0CBCF161" w:rsidR="002F639B" w:rsidRPr="00D57D4C" w:rsidRDefault="002F639B" w:rsidP="009A5354">
      <w:pPr>
        <w:pStyle w:val="BodyTextIndent0"/>
      </w:pPr>
      <w:proofErr w:type="gramStart"/>
      <w:r w:rsidRPr="00D57D4C">
        <w:rPr>
          <w:i/>
        </w:rPr>
        <w:t xml:space="preserve">Does not require </w:t>
      </w:r>
      <w:r w:rsidR="001D0C1B">
        <w:rPr>
          <w:i/>
        </w:rPr>
        <w:t>new languages</w:t>
      </w:r>
      <w:r w:rsidRPr="00D57D4C">
        <w:rPr>
          <w:i/>
        </w:rPr>
        <w:t>:</w:t>
      </w:r>
      <w:r w:rsidRPr="00D57D4C">
        <w:t xml:space="preserve"> Writing code requires fairly specialized skills that many otherwise-capable data analysts may not possess.</w:t>
      </w:r>
      <w:proofErr w:type="gramEnd"/>
      <w:r w:rsidRPr="00D57D4C">
        <w:t xml:space="preserve"> While some packages allow a variety of approaches (‘R’ has plotting functions ranging from a grammar-of-graphics to command-line ‘plot’), we generally mean the question of whether creating a new visualization requires development exp</w:t>
      </w:r>
      <w:r w:rsidRPr="00D57D4C">
        <w:t>e</w:t>
      </w:r>
      <w:r w:rsidRPr="00D57D4C">
        <w:t>rience. While some consider writing f</w:t>
      </w:r>
      <w:r>
        <w:t>ormulas within a sprea</w:t>
      </w:r>
      <w:r>
        <w:t>d</w:t>
      </w:r>
      <w:r>
        <w:t>sheet an</w:t>
      </w:r>
      <w:r w:rsidRPr="00D57D4C">
        <w:t xml:space="preserve"> alternate form of coding, </w:t>
      </w:r>
      <w:r w:rsidR="001D0C1B">
        <w:t>it is usually seen instead as a familiar form of end-user programming [</w:t>
      </w:r>
      <w:r w:rsidR="009E6F76">
        <w:t>ABE09</w:t>
      </w:r>
      <w:r w:rsidR="001D0C1B">
        <w:t>]</w:t>
      </w:r>
      <w:r>
        <w:t>.</w:t>
      </w:r>
      <w:r w:rsidR="00E84CA1">
        <w:t xml:space="preserve"> </w:t>
      </w:r>
      <w:r w:rsidR="00630998">
        <w:t>S</w:t>
      </w:r>
      <w:r w:rsidR="00E84CA1">
        <w:t xml:space="preserve">preadsheet users </w:t>
      </w:r>
      <w:r w:rsidR="00630998">
        <w:t xml:space="preserve">have typically been exposed to </w:t>
      </w:r>
      <w:r w:rsidR="00E84CA1">
        <w:t>formulas.</w:t>
      </w:r>
    </w:p>
    <w:p w14:paraId="68091566" w14:textId="2DF18A2A" w:rsidR="002F639B" w:rsidRPr="00D57D4C" w:rsidRDefault="00007291" w:rsidP="009A5354">
      <w:pPr>
        <w:pStyle w:val="BodyTextIndent0"/>
      </w:pPr>
      <w:proofErr w:type="gramStart"/>
      <w:r>
        <w:rPr>
          <w:i/>
        </w:rPr>
        <w:t xml:space="preserve">Bound to </w:t>
      </w:r>
      <w:r w:rsidR="00E600F2">
        <w:rPr>
          <w:i/>
        </w:rPr>
        <w:t>d</w:t>
      </w:r>
      <w:r w:rsidR="002F639B" w:rsidRPr="00D57D4C">
        <w:rPr>
          <w:i/>
        </w:rPr>
        <w:t xml:space="preserve">ata: </w:t>
      </w:r>
      <w:r w:rsidR="002F639B" w:rsidRPr="00D57D4C">
        <w:t xml:space="preserve">While most visualization tools make it very easy to visualize data, drawing tools are usually </w:t>
      </w:r>
      <w:r w:rsidR="002F639B" w:rsidRPr="00D57D4C">
        <w:rPr>
          <w:i/>
        </w:rPr>
        <w:t>not</w:t>
      </w:r>
      <w:r w:rsidR="002F639B" w:rsidRPr="00D57D4C">
        <w:t xml:space="preserve"> linked e</w:t>
      </w:r>
      <w:r w:rsidR="002F639B" w:rsidRPr="00D57D4C">
        <w:t>x</w:t>
      </w:r>
      <w:r w:rsidR="002F639B" w:rsidRPr="00D57D4C">
        <w:t>plicitly to a data source.</w:t>
      </w:r>
      <w:proofErr w:type="gramEnd"/>
    </w:p>
    <w:p w14:paraId="68091567" w14:textId="264E46F3" w:rsidR="002F639B" w:rsidRPr="00D57D4C" w:rsidRDefault="002F639B" w:rsidP="009A5354">
      <w:pPr>
        <w:pStyle w:val="BodyTextIndent0"/>
      </w:pPr>
      <w:r w:rsidRPr="00D57D4C">
        <w:rPr>
          <w:i/>
        </w:rPr>
        <w:t xml:space="preserve">Reusable: </w:t>
      </w:r>
      <w:r w:rsidRPr="00D57D4C">
        <w:t>Part of the ability to bind data implies an ability to assign new data to an existing visualization. In general, we are interested in whether there is a way for a user to identify a past visualization of interest and assign new data to it. Pure drawing packages never create visualizations that are reusable</w:t>
      </w:r>
      <w:r>
        <w:t xml:space="preserve"> in this way</w:t>
      </w:r>
      <w:r w:rsidRPr="00D57D4C">
        <w:t xml:space="preserve">: the </w:t>
      </w:r>
      <w:r w:rsidR="009027EA">
        <w:t xml:space="preserve">image </w:t>
      </w:r>
      <w:r w:rsidRPr="00D57D4C">
        <w:t>might be saved, but the illustration needs to be othe</w:t>
      </w:r>
      <w:r w:rsidRPr="00D57D4C">
        <w:t>r</w:t>
      </w:r>
      <w:r w:rsidRPr="00D57D4C">
        <w:t>wise re-generated for new data.</w:t>
      </w:r>
    </w:p>
    <w:p w14:paraId="68091568" w14:textId="7367AF7E" w:rsidR="002F639B" w:rsidRPr="00D57D4C" w:rsidRDefault="002F639B" w:rsidP="009A5354">
      <w:pPr>
        <w:pStyle w:val="BodyTextIndent0"/>
        <w:rPr>
          <w:i/>
        </w:rPr>
      </w:pPr>
      <w:r w:rsidRPr="00D57D4C">
        <w:rPr>
          <w:i/>
        </w:rPr>
        <w:t xml:space="preserve">Modifiable: </w:t>
      </w:r>
      <w:r w:rsidRPr="00E6108A">
        <w:t>In</w:t>
      </w:r>
      <w:r w:rsidRPr="00D57D4C">
        <w:t xml:space="preserve"> ad</w:t>
      </w:r>
      <w:r>
        <w:t>dition to reassigning the data i</w:t>
      </w:r>
      <w:r w:rsidRPr="00D57D4C">
        <w:t xml:space="preserve">n </w:t>
      </w:r>
      <w:proofErr w:type="gramStart"/>
      <w:r w:rsidRPr="00D57D4C">
        <w:t>a visualiz</w:t>
      </w:r>
      <w:r w:rsidRPr="00D57D4C">
        <w:t>a</w:t>
      </w:r>
      <w:r w:rsidRPr="00D57D4C">
        <w:t>tion</w:t>
      </w:r>
      <w:proofErr w:type="gramEnd"/>
      <w:r w:rsidRPr="00D57D4C">
        <w:t>, users may wish to customize a visualization in both subtle ways (such as tweaking colors)</w:t>
      </w:r>
      <w:r>
        <w:t xml:space="preserve"> and more significant ways (alte</w:t>
      </w:r>
      <w:r>
        <w:t>r</w:t>
      </w:r>
      <w:r>
        <w:t>ing the layout based on a new algorithm)</w:t>
      </w:r>
      <w:r w:rsidRPr="00D57D4C">
        <w:t xml:space="preserve">. </w:t>
      </w:r>
      <w:proofErr w:type="spellStart"/>
      <w:r w:rsidRPr="00D57D4C">
        <w:t>Protovis</w:t>
      </w:r>
      <w:proofErr w:type="spellEnd"/>
      <w:r w:rsidR="00405EEB">
        <w:t xml:space="preserve"> [</w:t>
      </w:r>
      <w:r w:rsidR="003E328A">
        <w:t>BH09]</w:t>
      </w:r>
      <w:r w:rsidRPr="00D57D4C">
        <w:t xml:space="preserve"> is specifically designed to be accessible, which helps users unde</w:t>
      </w:r>
      <w:r w:rsidRPr="00D57D4C">
        <w:t>r</w:t>
      </w:r>
      <w:r w:rsidRPr="00D57D4C">
        <w:t xml:space="preserve">stand how </w:t>
      </w:r>
      <w:proofErr w:type="gramStart"/>
      <w:r w:rsidRPr="00D57D4C">
        <w:t>a visualization</w:t>
      </w:r>
      <w:proofErr w:type="gramEnd"/>
      <w:r w:rsidRPr="00D57D4C">
        <w:t xml:space="preserve"> was created, and </w:t>
      </w:r>
      <w:r>
        <w:t>how to create the next version.</w:t>
      </w:r>
    </w:p>
    <w:p w14:paraId="68091569" w14:textId="6B3B9D69" w:rsidR="002F639B" w:rsidRPr="00D57D4C" w:rsidRDefault="002F639B" w:rsidP="009A5354">
      <w:pPr>
        <w:pStyle w:val="BodyTextIndent0"/>
      </w:pPr>
      <w:r w:rsidRPr="00D57D4C">
        <w:rPr>
          <w:i/>
        </w:rPr>
        <w:t xml:space="preserve">Sharable: </w:t>
      </w:r>
      <w:r w:rsidR="003727E4">
        <w:t xml:space="preserve">Users should be able to share the components of their visualization with each other, including allowing another user to reuse the visualization with different data, or to extend an existing visualization. </w:t>
      </w:r>
      <w:proofErr w:type="spellStart"/>
      <w:r w:rsidRPr="00D57D4C">
        <w:t>Sharability</w:t>
      </w:r>
      <w:proofErr w:type="spellEnd"/>
      <w:r w:rsidRPr="00D57D4C">
        <w:t xml:space="preserve"> is largely implied by modifi</w:t>
      </w:r>
      <w:r w:rsidRPr="00D57D4C">
        <w:t>a</w:t>
      </w:r>
      <w:r w:rsidRPr="00D57D4C">
        <w:t>bility, but requires the ability to distribute the visualization’s algorithm separately from its data.</w:t>
      </w:r>
    </w:p>
    <w:p w14:paraId="6809156A" w14:textId="6912A93F" w:rsidR="002F639B" w:rsidRPr="00D57D4C" w:rsidRDefault="002F639B" w:rsidP="009A5354">
      <w:pPr>
        <w:pStyle w:val="BodyTextIndent0"/>
      </w:pPr>
      <w:r w:rsidRPr="00D57D4C">
        <w:rPr>
          <w:i/>
        </w:rPr>
        <w:t>Direct</w:t>
      </w:r>
      <w:r w:rsidR="00DA3DB4">
        <w:rPr>
          <w:i/>
        </w:rPr>
        <w:t>ly</w:t>
      </w:r>
      <w:r w:rsidRPr="00D57D4C">
        <w:rPr>
          <w:i/>
        </w:rPr>
        <w:t xml:space="preserve"> </w:t>
      </w:r>
      <w:proofErr w:type="spellStart"/>
      <w:r w:rsidR="00DA3DB4">
        <w:rPr>
          <w:i/>
        </w:rPr>
        <w:t>Manipulable</w:t>
      </w:r>
      <w:proofErr w:type="spellEnd"/>
      <w:r w:rsidRPr="00D57D4C">
        <w:rPr>
          <w:i/>
        </w:rPr>
        <w:t xml:space="preserve">: </w:t>
      </w:r>
      <w:r w:rsidRPr="00D57D4C">
        <w:t>Users of</w:t>
      </w:r>
      <w:r w:rsidRPr="00D57D4C">
        <w:rPr>
          <w:i/>
        </w:rPr>
        <w:t xml:space="preserve"> </w:t>
      </w:r>
      <w:r w:rsidRPr="00D57D4C">
        <w:t>drawing tools who wish to move an object or change its color are accustomed to merely dragging it to its new place or dropping on a new color palette. In contrast, developers who wish to change the color of an object are more likely to need to recompile their code. Excel and other visualization packages permit some direct manipulation, but us</w:t>
      </w:r>
      <w:r w:rsidRPr="00D57D4C">
        <w:t>u</w:t>
      </w:r>
      <w:r w:rsidRPr="00D57D4C">
        <w:t>ally not as powerfully as dedicated drawing programs.</w:t>
      </w:r>
    </w:p>
    <w:p w14:paraId="6809156B" w14:textId="77777777" w:rsidR="002F639B" w:rsidRDefault="002F639B" w:rsidP="009A5354">
      <w:pPr>
        <w:pStyle w:val="BodyTextIndent0"/>
      </w:pPr>
      <w:r w:rsidRPr="00D57D4C">
        <w:t>Table 1 highlights the ways these tradeoffs manifest in diffe</w:t>
      </w:r>
      <w:r w:rsidRPr="00D57D4C">
        <w:t>r</w:t>
      </w:r>
      <w:r w:rsidRPr="00D57D4C">
        <w:t>ent categories of tools.</w:t>
      </w:r>
      <w:r w:rsidRPr="00D57D4C" w:rsidDel="009E07A9">
        <w:t xml:space="preserve"> </w:t>
      </w:r>
      <w:r w:rsidRPr="00D57D4C">
        <w:t xml:space="preserve">We also </w:t>
      </w:r>
      <w:r>
        <w:t>include the target</w:t>
      </w:r>
      <w:r w:rsidRPr="00D57D4C">
        <w:t xml:space="preserve"> audience</w:t>
      </w:r>
      <w:r>
        <w:t xml:space="preserve"> for each category</w:t>
      </w:r>
      <w:r w:rsidRPr="00D57D4C">
        <w:t>, separating out the skills demanded by each type of tool.</w:t>
      </w:r>
    </w:p>
    <w:p w14:paraId="6809156C" w14:textId="77777777" w:rsidR="002F639B" w:rsidRDefault="002F639B" w:rsidP="009A5354">
      <w:pPr>
        <w:pStyle w:val="BodyTextIndent0"/>
      </w:pPr>
    </w:p>
    <w:p w14:paraId="6809156D" w14:textId="77777777" w:rsidR="002F639B" w:rsidRPr="00A7349A" w:rsidRDefault="002F639B" w:rsidP="00927460">
      <w:pPr>
        <w:pStyle w:val="TableCaption"/>
      </w:pPr>
      <w:proofErr w:type="gramStart"/>
      <w:r w:rsidRPr="00A7349A">
        <w:rPr>
          <w:b/>
        </w:rPr>
        <w:t>Table 1</w:t>
      </w:r>
      <w:r w:rsidRPr="00A7349A">
        <w:t>: Tradeoffs of writing code, drawing programs, and visual</w:t>
      </w:r>
      <w:r w:rsidRPr="00A7349A">
        <w:t>i</w:t>
      </w:r>
      <w:r w:rsidRPr="00A7349A">
        <w:t>zation packages.</w:t>
      </w:r>
      <w:proofErr w:type="gramEnd"/>
      <w:r w:rsidRPr="00A7349A">
        <w:t xml:space="preserve"> </w:t>
      </w:r>
      <w:r w:rsidRPr="00A7349A">
        <w:sym w:font="Wingdings 2" w:char="F050"/>
      </w:r>
      <w:r w:rsidRPr="00A7349A">
        <w:t xml:space="preserve"> </w:t>
      </w:r>
      <w:proofErr w:type="gramStart"/>
      <w:r w:rsidRPr="00A7349A">
        <w:rPr>
          <w:sz w:val="18"/>
        </w:rPr>
        <w:t>supports</w:t>
      </w:r>
      <w:proofErr w:type="gramEnd"/>
      <w:r w:rsidRPr="00A7349A">
        <w:rPr>
          <w:sz w:val="18"/>
        </w:rPr>
        <w:t xml:space="preserve"> an attribute, </w:t>
      </w:r>
      <w:r w:rsidRPr="00A7349A">
        <w:sym w:font="Wingdings 2" w:char="F04F"/>
      </w:r>
      <w:r w:rsidRPr="00A7349A">
        <w:t xml:space="preserve"> </w:t>
      </w:r>
      <w:r w:rsidRPr="00A7349A">
        <w:rPr>
          <w:sz w:val="18"/>
        </w:rPr>
        <w:t xml:space="preserve">lacks </w:t>
      </w:r>
      <w:r>
        <w:t>it</w:t>
      </w:r>
      <w:r w:rsidRPr="00A7349A">
        <w:rPr>
          <w:sz w:val="18"/>
        </w:rPr>
        <w:t>, and</w:t>
      </w:r>
      <w:r w:rsidRPr="00A7349A">
        <w:t xml:space="preserve"> ? </w:t>
      </w:r>
      <w:proofErr w:type="gramStart"/>
      <w:r w:rsidRPr="00A7349A">
        <w:rPr>
          <w:sz w:val="18"/>
        </w:rPr>
        <w:t>means</w:t>
      </w:r>
      <w:proofErr w:type="gramEnd"/>
      <w:r w:rsidRPr="00A7349A">
        <w:rPr>
          <w:sz w:val="18"/>
        </w:rPr>
        <w:t xml:space="preserve"> “in some cases” or “limited.”</w:t>
      </w:r>
    </w:p>
    <w:tbl>
      <w:tblPr>
        <w:tblW w:w="0" w:type="auto"/>
        <w:jc w:val="center"/>
        <w:tblBorders>
          <w:top w:val="single" w:sz="8" w:space="0" w:color="000000"/>
          <w:bottom w:val="single" w:sz="8" w:space="0" w:color="000000"/>
        </w:tblBorders>
        <w:tblLayout w:type="fixed"/>
        <w:tblLook w:val="04A0" w:firstRow="1" w:lastRow="0" w:firstColumn="1" w:lastColumn="0" w:noHBand="0" w:noVBand="1"/>
      </w:tblPr>
      <w:tblGrid>
        <w:gridCol w:w="1188"/>
        <w:gridCol w:w="990"/>
        <w:gridCol w:w="900"/>
        <w:gridCol w:w="1170"/>
      </w:tblGrid>
      <w:tr w:rsidR="002F639B" w:rsidRPr="00157185" w14:paraId="68091572" w14:textId="77777777" w:rsidTr="00FA5F2F">
        <w:trPr>
          <w:jc w:val="center"/>
        </w:trPr>
        <w:tc>
          <w:tcPr>
            <w:tcW w:w="1188" w:type="dxa"/>
            <w:tcBorders>
              <w:top w:val="single" w:sz="8" w:space="0" w:color="000000"/>
              <w:left w:val="nil"/>
              <w:bottom w:val="single" w:sz="8" w:space="0" w:color="000000"/>
              <w:right w:val="nil"/>
            </w:tcBorders>
            <w:shd w:val="clear" w:color="auto" w:fill="auto"/>
          </w:tcPr>
          <w:p w14:paraId="6809156E" w14:textId="77777777" w:rsidR="002F639B" w:rsidRPr="00C67733" w:rsidRDefault="002F639B" w:rsidP="00FA5F2F">
            <w:pPr>
              <w:rPr>
                <w:b/>
                <w:bCs/>
                <w:color w:val="000000"/>
                <w:sz w:val="16"/>
              </w:rPr>
            </w:pPr>
          </w:p>
        </w:tc>
        <w:tc>
          <w:tcPr>
            <w:tcW w:w="990" w:type="dxa"/>
            <w:tcBorders>
              <w:top w:val="single" w:sz="8" w:space="0" w:color="000000"/>
              <w:left w:val="nil"/>
              <w:bottom w:val="single" w:sz="8" w:space="0" w:color="000000"/>
              <w:right w:val="nil"/>
            </w:tcBorders>
            <w:shd w:val="clear" w:color="auto" w:fill="auto"/>
          </w:tcPr>
          <w:p w14:paraId="6809156F" w14:textId="77777777" w:rsidR="002F639B" w:rsidRPr="00C67733" w:rsidRDefault="002F639B" w:rsidP="00FA5F2F">
            <w:pPr>
              <w:rPr>
                <w:b/>
                <w:bCs/>
                <w:color w:val="000000"/>
                <w:sz w:val="16"/>
              </w:rPr>
            </w:pPr>
            <w:r w:rsidRPr="00C67733">
              <w:rPr>
                <w:b/>
                <w:bCs/>
                <w:color w:val="000000"/>
                <w:sz w:val="16"/>
              </w:rPr>
              <w:t>Code</w:t>
            </w:r>
          </w:p>
        </w:tc>
        <w:tc>
          <w:tcPr>
            <w:tcW w:w="900" w:type="dxa"/>
            <w:tcBorders>
              <w:top w:val="single" w:sz="8" w:space="0" w:color="000000"/>
              <w:left w:val="nil"/>
              <w:bottom w:val="single" w:sz="8" w:space="0" w:color="000000"/>
              <w:right w:val="nil"/>
            </w:tcBorders>
            <w:shd w:val="clear" w:color="auto" w:fill="auto"/>
          </w:tcPr>
          <w:p w14:paraId="68091570" w14:textId="77777777" w:rsidR="002F639B" w:rsidRPr="00C67733" w:rsidRDefault="002F639B" w:rsidP="00FA5F2F">
            <w:pPr>
              <w:rPr>
                <w:b/>
                <w:bCs/>
                <w:color w:val="000000"/>
                <w:sz w:val="16"/>
              </w:rPr>
            </w:pPr>
            <w:r w:rsidRPr="00C67733">
              <w:rPr>
                <w:b/>
                <w:bCs/>
                <w:color w:val="000000"/>
                <w:sz w:val="16"/>
              </w:rPr>
              <w:t>Drawing</w:t>
            </w:r>
            <w:r w:rsidRPr="00C67733">
              <w:rPr>
                <w:b/>
                <w:bCs/>
                <w:color w:val="000000"/>
                <w:sz w:val="16"/>
              </w:rPr>
              <w:br/>
              <w:t>Programs</w:t>
            </w:r>
          </w:p>
        </w:tc>
        <w:tc>
          <w:tcPr>
            <w:tcW w:w="1170" w:type="dxa"/>
            <w:tcBorders>
              <w:top w:val="single" w:sz="8" w:space="0" w:color="000000"/>
              <w:left w:val="nil"/>
              <w:bottom w:val="single" w:sz="8" w:space="0" w:color="000000"/>
              <w:right w:val="nil"/>
            </w:tcBorders>
            <w:shd w:val="clear" w:color="auto" w:fill="auto"/>
          </w:tcPr>
          <w:p w14:paraId="68091571" w14:textId="77777777" w:rsidR="002F639B" w:rsidRPr="00C67733" w:rsidRDefault="002F639B" w:rsidP="00FA5F2F">
            <w:pPr>
              <w:rPr>
                <w:b/>
                <w:bCs/>
                <w:color w:val="000000"/>
                <w:sz w:val="16"/>
              </w:rPr>
            </w:pPr>
            <w:r w:rsidRPr="00C67733">
              <w:rPr>
                <w:b/>
                <w:bCs/>
                <w:color w:val="000000"/>
                <w:sz w:val="16"/>
              </w:rPr>
              <w:t>Visualization</w:t>
            </w:r>
            <w:r w:rsidRPr="00C67733">
              <w:rPr>
                <w:b/>
                <w:bCs/>
                <w:color w:val="000000"/>
                <w:sz w:val="16"/>
              </w:rPr>
              <w:br/>
              <w:t>Packages</w:t>
            </w:r>
          </w:p>
        </w:tc>
      </w:tr>
      <w:tr w:rsidR="002F639B" w:rsidRPr="00157185" w14:paraId="68091577" w14:textId="77777777" w:rsidTr="00FA5F2F">
        <w:trPr>
          <w:jc w:val="center"/>
        </w:trPr>
        <w:tc>
          <w:tcPr>
            <w:tcW w:w="1188" w:type="dxa"/>
            <w:tcBorders>
              <w:left w:val="nil"/>
              <w:right w:val="nil"/>
            </w:tcBorders>
            <w:shd w:val="clear" w:color="auto" w:fill="C0C0C0"/>
          </w:tcPr>
          <w:p w14:paraId="68091573" w14:textId="77777777" w:rsidR="002F639B" w:rsidRPr="00C67733" w:rsidRDefault="002F639B" w:rsidP="002D53D9">
            <w:pPr>
              <w:spacing w:after="0"/>
              <w:ind w:firstLine="0"/>
              <w:rPr>
                <w:b/>
                <w:bCs/>
                <w:color w:val="000000"/>
                <w:sz w:val="16"/>
              </w:rPr>
            </w:pPr>
            <w:r w:rsidRPr="00C67733">
              <w:rPr>
                <w:b/>
                <w:bCs/>
                <w:color w:val="000000"/>
                <w:sz w:val="16"/>
              </w:rPr>
              <w:t>Audience</w:t>
            </w:r>
          </w:p>
        </w:tc>
        <w:tc>
          <w:tcPr>
            <w:tcW w:w="990" w:type="dxa"/>
            <w:tcBorders>
              <w:left w:val="nil"/>
              <w:right w:val="nil"/>
            </w:tcBorders>
            <w:shd w:val="clear" w:color="auto" w:fill="C0C0C0"/>
          </w:tcPr>
          <w:p w14:paraId="68091574" w14:textId="77777777" w:rsidR="002F639B" w:rsidRPr="00C67733" w:rsidRDefault="002F639B" w:rsidP="00181636">
            <w:pPr>
              <w:ind w:firstLine="0"/>
              <w:rPr>
                <w:color w:val="000000"/>
                <w:sz w:val="16"/>
              </w:rPr>
            </w:pPr>
            <w:r w:rsidRPr="00C67733">
              <w:rPr>
                <w:color w:val="000000"/>
                <w:sz w:val="16"/>
              </w:rPr>
              <w:t>Developers</w:t>
            </w:r>
          </w:p>
        </w:tc>
        <w:tc>
          <w:tcPr>
            <w:tcW w:w="900" w:type="dxa"/>
            <w:tcBorders>
              <w:left w:val="nil"/>
              <w:right w:val="nil"/>
            </w:tcBorders>
            <w:shd w:val="clear" w:color="auto" w:fill="C0C0C0"/>
          </w:tcPr>
          <w:p w14:paraId="68091575" w14:textId="77777777" w:rsidR="002F639B" w:rsidRPr="00C67733" w:rsidRDefault="002F639B" w:rsidP="00181636">
            <w:pPr>
              <w:ind w:firstLine="0"/>
              <w:rPr>
                <w:color w:val="000000"/>
                <w:sz w:val="16"/>
              </w:rPr>
            </w:pPr>
            <w:r w:rsidRPr="00C67733">
              <w:rPr>
                <w:color w:val="000000"/>
                <w:sz w:val="16"/>
              </w:rPr>
              <w:t>Artists</w:t>
            </w:r>
          </w:p>
        </w:tc>
        <w:tc>
          <w:tcPr>
            <w:tcW w:w="1170" w:type="dxa"/>
            <w:tcBorders>
              <w:left w:val="nil"/>
              <w:right w:val="nil"/>
            </w:tcBorders>
            <w:shd w:val="clear" w:color="auto" w:fill="C0C0C0"/>
          </w:tcPr>
          <w:p w14:paraId="68091576" w14:textId="77777777" w:rsidR="002F639B" w:rsidRPr="00C67733" w:rsidRDefault="002F639B" w:rsidP="00181636">
            <w:pPr>
              <w:ind w:firstLine="0"/>
              <w:rPr>
                <w:color w:val="000000"/>
                <w:sz w:val="16"/>
              </w:rPr>
            </w:pPr>
            <w:r w:rsidRPr="00C67733">
              <w:rPr>
                <w:color w:val="000000"/>
                <w:sz w:val="16"/>
              </w:rPr>
              <w:t>Info Worker</w:t>
            </w:r>
          </w:p>
        </w:tc>
      </w:tr>
      <w:tr w:rsidR="002F639B" w:rsidRPr="00157185" w14:paraId="6809157C" w14:textId="77777777" w:rsidTr="00FA5F2F">
        <w:trPr>
          <w:jc w:val="center"/>
        </w:trPr>
        <w:tc>
          <w:tcPr>
            <w:tcW w:w="1188" w:type="dxa"/>
            <w:shd w:val="clear" w:color="auto" w:fill="auto"/>
          </w:tcPr>
          <w:p w14:paraId="68091578" w14:textId="77777777" w:rsidR="002F639B" w:rsidRPr="00C67733" w:rsidRDefault="002F639B" w:rsidP="002D53D9">
            <w:pPr>
              <w:spacing w:after="0"/>
              <w:ind w:firstLine="0"/>
              <w:rPr>
                <w:b/>
                <w:bCs/>
                <w:color w:val="000000"/>
                <w:sz w:val="16"/>
              </w:rPr>
            </w:pPr>
            <w:r w:rsidRPr="00C67733">
              <w:rPr>
                <w:b/>
                <w:bCs/>
                <w:color w:val="000000"/>
                <w:sz w:val="16"/>
              </w:rPr>
              <w:t>Flexible</w:t>
            </w:r>
          </w:p>
        </w:tc>
        <w:tc>
          <w:tcPr>
            <w:tcW w:w="990" w:type="dxa"/>
            <w:shd w:val="clear" w:color="auto" w:fill="auto"/>
          </w:tcPr>
          <w:p w14:paraId="68091579" w14:textId="77777777" w:rsidR="002F639B" w:rsidRPr="00C67733" w:rsidRDefault="002F639B" w:rsidP="00FA5F2F">
            <w:pPr>
              <w:rPr>
                <w:color w:val="000000"/>
                <w:sz w:val="16"/>
              </w:rPr>
            </w:pPr>
            <w:r w:rsidRPr="00C67733">
              <w:rPr>
                <w:color w:val="000000"/>
                <w:sz w:val="16"/>
              </w:rPr>
              <w:sym w:font="Wingdings 2" w:char="F050"/>
            </w:r>
          </w:p>
        </w:tc>
        <w:tc>
          <w:tcPr>
            <w:tcW w:w="900" w:type="dxa"/>
            <w:shd w:val="clear" w:color="auto" w:fill="auto"/>
          </w:tcPr>
          <w:p w14:paraId="6809157A" w14:textId="77777777" w:rsidR="002F639B" w:rsidRPr="00C67733" w:rsidRDefault="002F639B" w:rsidP="00FA5F2F">
            <w:pPr>
              <w:rPr>
                <w:color w:val="000000"/>
                <w:sz w:val="16"/>
              </w:rPr>
            </w:pPr>
            <w:r w:rsidRPr="00C67733">
              <w:rPr>
                <w:color w:val="000000"/>
                <w:sz w:val="16"/>
              </w:rPr>
              <w:sym w:font="Wingdings 2" w:char="F050"/>
            </w:r>
          </w:p>
        </w:tc>
        <w:tc>
          <w:tcPr>
            <w:tcW w:w="1170" w:type="dxa"/>
            <w:shd w:val="clear" w:color="auto" w:fill="auto"/>
          </w:tcPr>
          <w:p w14:paraId="6809157B" w14:textId="77777777" w:rsidR="002F639B" w:rsidRPr="00C67733" w:rsidRDefault="002F639B" w:rsidP="00FA5F2F">
            <w:pPr>
              <w:rPr>
                <w:color w:val="000000"/>
                <w:sz w:val="16"/>
              </w:rPr>
            </w:pPr>
            <w:r w:rsidRPr="00C67733">
              <w:rPr>
                <w:color w:val="000000"/>
                <w:sz w:val="16"/>
              </w:rPr>
              <w:sym w:font="Wingdings 2" w:char="F04F"/>
            </w:r>
          </w:p>
        </w:tc>
      </w:tr>
      <w:tr w:rsidR="002F639B" w:rsidRPr="00157185" w14:paraId="68091581" w14:textId="77777777" w:rsidTr="00FA5F2F">
        <w:trPr>
          <w:jc w:val="center"/>
        </w:trPr>
        <w:tc>
          <w:tcPr>
            <w:tcW w:w="1188" w:type="dxa"/>
            <w:tcBorders>
              <w:left w:val="nil"/>
              <w:right w:val="nil"/>
            </w:tcBorders>
            <w:shd w:val="clear" w:color="auto" w:fill="C0C0C0"/>
          </w:tcPr>
          <w:p w14:paraId="6809157D" w14:textId="77777777" w:rsidR="002F639B" w:rsidRPr="00C67733" w:rsidRDefault="002F639B" w:rsidP="002D53D9">
            <w:pPr>
              <w:spacing w:after="0"/>
              <w:ind w:firstLine="0"/>
              <w:rPr>
                <w:b/>
                <w:bCs/>
                <w:color w:val="000000"/>
                <w:sz w:val="16"/>
              </w:rPr>
            </w:pPr>
            <w:r w:rsidRPr="00C67733">
              <w:rPr>
                <w:b/>
                <w:bCs/>
                <w:color w:val="000000"/>
                <w:sz w:val="16"/>
              </w:rPr>
              <w:t>No code</w:t>
            </w:r>
          </w:p>
        </w:tc>
        <w:tc>
          <w:tcPr>
            <w:tcW w:w="990" w:type="dxa"/>
            <w:tcBorders>
              <w:left w:val="nil"/>
              <w:right w:val="nil"/>
            </w:tcBorders>
            <w:shd w:val="clear" w:color="auto" w:fill="C0C0C0"/>
          </w:tcPr>
          <w:p w14:paraId="6809157E" w14:textId="77777777" w:rsidR="002F639B" w:rsidRPr="00C67733" w:rsidRDefault="002F639B" w:rsidP="00FA5F2F">
            <w:pPr>
              <w:rPr>
                <w:color w:val="000000"/>
                <w:sz w:val="16"/>
              </w:rPr>
            </w:pPr>
            <w:r w:rsidRPr="00C67733">
              <w:rPr>
                <w:color w:val="000000"/>
                <w:sz w:val="16"/>
              </w:rPr>
              <w:sym w:font="Wingdings 2" w:char="F04F"/>
            </w:r>
          </w:p>
        </w:tc>
        <w:tc>
          <w:tcPr>
            <w:tcW w:w="900" w:type="dxa"/>
            <w:tcBorders>
              <w:left w:val="nil"/>
              <w:right w:val="nil"/>
            </w:tcBorders>
            <w:shd w:val="clear" w:color="auto" w:fill="C0C0C0"/>
          </w:tcPr>
          <w:p w14:paraId="6809157F" w14:textId="77777777" w:rsidR="002F639B" w:rsidRPr="00C67733" w:rsidRDefault="002F639B" w:rsidP="00FA5F2F">
            <w:pPr>
              <w:rPr>
                <w:color w:val="000000"/>
                <w:sz w:val="16"/>
              </w:rPr>
            </w:pPr>
            <w:r w:rsidRPr="00C67733">
              <w:rPr>
                <w:color w:val="000000"/>
                <w:sz w:val="16"/>
              </w:rPr>
              <w:sym w:font="Wingdings 2" w:char="F050"/>
            </w:r>
          </w:p>
        </w:tc>
        <w:tc>
          <w:tcPr>
            <w:tcW w:w="1170" w:type="dxa"/>
            <w:tcBorders>
              <w:left w:val="nil"/>
              <w:right w:val="nil"/>
            </w:tcBorders>
            <w:shd w:val="clear" w:color="auto" w:fill="C0C0C0"/>
          </w:tcPr>
          <w:p w14:paraId="68091580" w14:textId="77777777" w:rsidR="002F639B" w:rsidRPr="00C67733" w:rsidRDefault="002F639B" w:rsidP="00FA5F2F">
            <w:pPr>
              <w:rPr>
                <w:color w:val="000000"/>
                <w:sz w:val="16"/>
              </w:rPr>
            </w:pPr>
            <w:r w:rsidRPr="00C67733">
              <w:rPr>
                <w:color w:val="000000"/>
                <w:sz w:val="16"/>
              </w:rPr>
              <w:sym w:font="Wingdings 2" w:char="F050"/>
            </w:r>
          </w:p>
        </w:tc>
      </w:tr>
      <w:tr w:rsidR="002F639B" w:rsidRPr="00157185" w14:paraId="68091586" w14:textId="77777777" w:rsidTr="00FA5F2F">
        <w:trPr>
          <w:jc w:val="center"/>
        </w:trPr>
        <w:tc>
          <w:tcPr>
            <w:tcW w:w="1188" w:type="dxa"/>
            <w:shd w:val="clear" w:color="auto" w:fill="auto"/>
          </w:tcPr>
          <w:p w14:paraId="68091582" w14:textId="77777777" w:rsidR="002F639B" w:rsidRPr="00C67733" w:rsidRDefault="002F639B" w:rsidP="002D53D9">
            <w:pPr>
              <w:spacing w:after="0"/>
              <w:ind w:firstLine="0"/>
              <w:rPr>
                <w:b/>
                <w:bCs/>
                <w:color w:val="000000"/>
                <w:sz w:val="16"/>
              </w:rPr>
            </w:pPr>
            <w:r w:rsidRPr="00C67733">
              <w:rPr>
                <w:b/>
                <w:bCs/>
                <w:color w:val="000000"/>
                <w:sz w:val="16"/>
              </w:rPr>
              <w:t>Data bound</w:t>
            </w:r>
          </w:p>
        </w:tc>
        <w:tc>
          <w:tcPr>
            <w:tcW w:w="990" w:type="dxa"/>
            <w:shd w:val="clear" w:color="auto" w:fill="auto"/>
          </w:tcPr>
          <w:p w14:paraId="68091583" w14:textId="77777777" w:rsidR="002F639B" w:rsidRPr="00C67733" w:rsidRDefault="002F639B" w:rsidP="00FA5F2F">
            <w:pPr>
              <w:rPr>
                <w:color w:val="000000"/>
                <w:sz w:val="16"/>
              </w:rPr>
            </w:pPr>
            <w:r w:rsidRPr="00C67733">
              <w:rPr>
                <w:color w:val="000000"/>
                <w:sz w:val="16"/>
              </w:rPr>
              <w:sym w:font="Wingdings 2" w:char="F050"/>
            </w:r>
          </w:p>
        </w:tc>
        <w:tc>
          <w:tcPr>
            <w:tcW w:w="900" w:type="dxa"/>
            <w:shd w:val="clear" w:color="auto" w:fill="auto"/>
          </w:tcPr>
          <w:p w14:paraId="68091584" w14:textId="77777777" w:rsidR="002F639B" w:rsidRPr="00C67733" w:rsidRDefault="002F639B" w:rsidP="00FA5F2F">
            <w:pPr>
              <w:rPr>
                <w:color w:val="000000"/>
                <w:sz w:val="16"/>
              </w:rPr>
            </w:pPr>
            <w:r w:rsidRPr="00C67733">
              <w:rPr>
                <w:color w:val="000000"/>
                <w:sz w:val="16"/>
              </w:rPr>
              <w:sym w:font="Wingdings 2" w:char="F04F"/>
            </w:r>
          </w:p>
        </w:tc>
        <w:tc>
          <w:tcPr>
            <w:tcW w:w="1170" w:type="dxa"/>
            <w:shd w:val="clear" w:color="auto" w:fill="auto"/>
          </w:tcPr>
          <w:p w14:paraId="68091585" w14:textId="77777777" w:rsidR="002F639B" w:rsidRPr="00C67733" w:rsidRDefault="002F639B" w:rsidP="00FA5F2F">
            <w:pPr>
              <w:rPr>
                <w:color w:val="000000"/>
                <w:sz w:val="16"/>
              </w:rPr>
            </w:pPr>
            <w:r w:rsidRPr="00C67733">
              <w:rPr>
                <w:color w:val="000000"/>
                <w:sz w:val="16"/>
              </w:rPr>
              <w:sym w:font="Wingdings 2" w:char="F050"/>
            </w:r>
          </w:p>
        </w:tc>
      </w:tr>
      <w:tr w:rsidR="002F639B" w:rsidRPr="00157185" w14:paraId="6809158B" w14:textId="77777777" w:rsidTr="00FA5F2F">
        <w:trPr>
          <w:jc w:val="center"/>
        </w:trPr>
        <w:tc>
          <w:tcPr>
            <w:tcW w:w="1188" w:type="dxa"/>
            <w:tcBorders>
              <w:left w:val="nil"/>
              <w:right w:val="nil"/>
            </w:tcBorders>
            <w:shd w:val="clear" w:color="auto" w:fill="C0C0C0"/>
          </w:tcPr>
          <w:p w14:paraId="68091587" w14:textId="77777777" w:rsidR="002F639B" w:rsidRPr="00C67733" w:rsidRDefault="002F639B" w:rsidP="002D53D9">
            <w:pPr>
              <w:spacing w:after="0"/>
              <w:ind w:firstLine="0"/>
              <w:rPr>
                <w:b/>
                <w:bCs/>
                <w:color w:val="000000"/>
                <w:sz w:val="16"/>
              </w:rPr>
            </w:pPr>
            <w:r w:rsidRPr="00C67733">
              <w:rPr>
                <w:b/>
                <w:bCs/>
                <w:color w:val="000000"/>
                <w:sz w:val="16"/>
              </w:rPr>
              <w:t>Reusable</w:t>
            </w:r>
          </w:p>
        </w:tc>
        <w:tc>
          <w:tcPr>
            <w:tcW w:w="990" w:type="dxa"/>
            <w:tcBorders>
              <w:left w:val="nil"/>
              <w:right w:val="nil"/>
            </w:tcBorders>
            <w:shd w:val="clear" w:color="auto" w:fill="C0C0C0"/>
          </w:tcPr>
          <w:p w14:paraId="68091588" w14:textId="77777777" w:rsidR="002F639B" w:rsidRPr="00C67733" w:rsidRDefault="002F639B" w:rsidP="00FA5F2F">
            <w:pPr>
              <w:rPr>
                <w:color w:val="000000"/>
                <w:sz w:val="16"/>
              </w:rPr>
            </w:pPr>
            <w:r w:rsidRPr="00C67733">
              <w:rPr>
                <w:color w:val="000000"/>
                <w:sz w:val="16"/>
              </w:rPr>
              <w:t>?</w:t>
            </w:r>
          </w:p>
        </w:tc>
        <w:tc>
          <w:tcPr>
            <w:tcW w:w="900" w:type="dxa"/>
            <w:tcBorders>
              <w:left w:val="nil"/>
              <w:right w:val="nil"/>
            </w:tcBorders>
            <w:shd w:val="clear" w:color="auto" w:fill="C0C0C0"/>
          </w:tcPr>
          <w:p w14:paraId="68091589" w14:textId="77777777" w:rsidR="002F639B" w:rsidRPr="00C67733" w:rsidRDefault="002F639B" w:rsidP="00FA5F2F">
            <w:pPr>
              <w:rPr>
                <w:color w:val="000000"/>
                <w:sz w:val="16"/>
              </w:rPr>
            </w:pPr>
            <w:r w:rsidRPr="00C67733">
              <w:rPr>
                <w:color w:val="000000"/>
                <w:sz w:val="16"/>
              </w:rPr>
              <w:sym w:font="Wingdings 2" w:char="F04F"/>
            </w:r>
          </w:p>
        </w:tc>
        <w:tc>
          <w:tcPr>
            <w:tcW w:w="1170" w:type="dxa"/>
            <w:tcBorders>
              <w:left w:val="nil"/>
              <w:right w:val="nil"/>
            </w:tcBorders>
            <w:shd w:val="clear" w:color="auto" w:fill="C0C0C0"/>
          </w:tcPr>
          <w:p w14:paraId="6809158A" w14:textId="77777777" w:rsidR="002F639B" w:rsidRPr="00C67733" w:rsidRDefault="002F639B" w:rsidP="00FA5F2F">
            <w:pPr>
              <w:rPr>
                <w:color w:val="000000"/>
                <w:sz w:val="16"/>
              </w:rPr>
            </w:pPr>
            <w:r w:rsidRPr="00C67733">
              <w:rPr>
                <w:color w:val="000000"/>
                <w:sz w:val="16"/>
              </w:rPr>
              <w:sym w:font="Wingdings 2" w:char="F050"/>
            </w:r>
          </w:p>
        </w:tc>
      </w:tr>
      <w:tr w:rsidR="002F639B" w:rsidRPr="00157185" w14:paraId="68091590" w14:textId="77777777" w:rsidTr="00FA5F2F">
        <w:trPr>
          <w:jc w:val="center"/>
        </w:trPr>
        <w:tc>
          <w:tcPr>
            <w:tcW w:w="1188" w:type="dxa"/>
            <w:shd w:val="clear" w:color="auto" w:fill="auto"/>
          </w:tcPr>
          <w:p w14:paraId="6809158C" w14:textId="77777777" w:rsidR="002F639B" w:rsidRPr="00C67733" w:rsidRDefault="002F639B" w:rsidP="002D53D9">
            <w:pPr>
              <w:spacing w:after="0"/>
              <w:ind w:firstLine="0"/>
              <w:rPr>
                <w:b/>
                <w:bCs/>
                <w:color w:val="000000"/>
                <w:sz w:val="16"/>
              </w:rPr>
            </w:pPr>
            <w:r w:rsidRPr="00C67733">
              <w:rPr>
                <w:b/>
                <w:bCs/>
                <w:color w:val="000000"/>
                <w:sz w:val="16"/>
              </w:rPr>
              <w:t>Modifiable</w:t>
            </w:r>
          </w:p>
        </w:tc>
        <w:tc>
          <w:tcPr>
            <w:tcW w:w="990" w:type="dxa"/>
            <w:shd w:val="clear" w:color="auto" w:fill="auto"/>
          </w:tcPr>
          <w:p w14:paraId="6809158D" w14:textId="77777777" w:rsidR="002F639B" w:rsidRPr="00C67733" w:rsidRDefault="002F639B" w:rsidP="00FA5F2F">
            <w:pPr>
              <w:rPr>
                <w:color w:val="000000"/>
                <w:sz w:val="16"/>
              </w:rPr>
            </w:pPr>
            <w:r w:rsidRPr="00C67733">
              <w:rPr>
                <w:color w:val="000000"/>
                <w:sz w:val="16"/>
              </w:rPr>
              <w:t>?</w:t>
            </w:r>
          </w:p>
        </w:tc>
        <w:tc>
          <w:tcPr>
            <w:tcW w:w="900" w:type="dxa"/>
            <w:shd w:val="clear" w:color="auto" w:fill="auto"/>
          </w:tcPr>
          <w:p w14:paraId="6809158E" w14:textId="77777777" w:rsidR="002F639B" w:rsidRPr="00C67733" w:rsidRDefault="002F639B" w:rsidP="00FA5F2F">
            <w:pPr>
              <w:rPr>
                <w:color w:val="000000"/>
                <w:sz w:val="16"/>
              </w:rPr>
            </w:pPr>
            <w:r w:rsidRPr="00C67733">
              <w:rPr>
                <w:color w:val="000000"/>
                <w:sz w:val="16"/>
              </w:rPr>
              <w:sym w:font="Wingdings 2" w:char="F04F"/>
            </w:r>
          </w:p>
        </w:tc>
        <w:tc>
          <w:tcPr>
            <w:tcW w:w="1170" w:type="dxa"/>
            <w:shd w:val="clear" w:color="auto" w:fill="auto"/>
          </w:tcPr>
          <w:p w14:paraId="6809158F" w14:textId="77777777" w:rsidR="002F639B" w:rsidRPr="00C67733" w:rsidRDefault="002F639B" w:rsidP="00FA5F2F">
            <w:pPr>
              <w:rPr>
                <w:color w:val="000000"/>
                <w:sz w:val="16"/>
              </w:rPr>
            </w:pPr>
            <w:r w:rsidRPr="00C67733">
              <w:rPr>
                <w:color w:val="000000"/>
                <w:sz w:val="16"/>
              </w:rPr>
              <w:t>?</w:t>
            </w:r>
          </w:p>
        </w:tc>
      </w:tr>
      <w:tr w:rsidR="002F639B" w:rsidRPr="00157185" w14:paraId="68091595" w14:textId="77777777" w:rsidTr="00FA5F2F">
        <w:trPr>
          <w:jc w:val="center"/>
        </w:trPr>
        <w:tc>
          <w:tcPr>
            <w:tcW w:w="1188" w:type="dxa"/>
            <w:tcBorders>
              <w:left w:val="nil"/>
              <w:right w:val="nil"/>
            </w:tcBorders>
            <w:shd w:val="clear" w:color="auto" w:fill="C0C0C0"/>
          </w:tcPr>
          <w:p w14:paraId="68091591" w14:textId="77777777" w:rsidR="002F639B" w:rsidRPr="00C67733" w:rsidRDefault="002F639B" w:rsidP="002D53D9">
            <w:pPr>
              <w:spacing w:after="0"/>
              <w:ind w:firstLine="0"/>
              <w:rPr>
                <w:b/>
                <w:bCs/>
                <w:color w:val="000000"/>
                <w:sz w:val="16"/>
              </w:rPr>
            </w:pPr>
            <w:r w:rsidRPr="00C67733">
              <w:rPr>
                <w:b/>
                <w:bCs/>
                <w:color w:val="000000"/>
                <w:sz w:val="16"/>
              </w:rPr>
              <w:t>Sharable</w:t>
            </w:r>
          </w:p>
        </w:tc>
        <w:tc>
          <w:tcPr>
            <w:tcW w:w="990" w:type="dxa"/>
            <w:tcBorders>
              <w:left w:val="nil"/>
              <w:right w:val="nil"/>
            </w:tcBorders>
            <w:shd w:val="clear" w:color="auto" w:fill="C0C0C0"/>
          </w:tcPr>
          <w:p w14:paraId="68091592" w14:textId="77777777" w:rsidR="002F639B" w:rsidRPr="00C67733" w:rsidRDefault="002F639B" w:rsidP="00FA5F2F">
            <w:pPr>
              <w:rPr>
                <w:color w:val="000000"/>
                <w:sz w:val="16"/>
              </w:rPr>
            </w:pPr>
            <w:r w:rsidRPr="00C67733">
              <w:rPr>
                <w:color w:val="000000"/>
                <w:sz w:val="16"/>
              </w:rPr>
              <w:t>?</w:t>
            </w:r>
          </w:p>
        </w:tc>
        <w:tc>
          <w:tcPr>
            <w:tcW w:w="900" w:type="dxa"/>
            <w:tcBorders>
              <w:left w:val="nil"/>
              <w:right w:val="nil"/>
            </w:tcBorders>
            <w:shd w:val="clear" w:color="auto" w:fill="C0C0C0"/>
          </w:tcPr>
          <w:p w14:paraId="68091593" w14:textId="77777777" w:rsidR="002F639B" w:rsidRPr="00C67733" w:rsidRDefault="002F639B" w:rsidP="00FA5F2F">
            <w:pPr>
              <w:rPr>
                <w:color w:val="000000"/>
                <w:sz w:val="16"/>
              </w:rPr>
            </w:pPr>
            <w:r w:rsidRPr="00C67733">
              <w:rPr>
                <w:color w:val="000000"/>
                <w:sz w:val="16"/>
              </w:rPr>
              <w:sym w:font="Wingdings 2" w:char="F04F"/>
            </w:r>
          </w:p>
        </w:tc>
        <w:tc>
          <w:tcPr>
            <w:tcW w:w="1170" w:type="dxa"/>
            <w:tcBorders>
              <w:left w:val="nil"/>
              <w:right w:val="nil"/>
            </w:tcBorders>
            <w:shd w:val="clear" w:color="auto" w:fill="C0C0C0"/>
          </w:tcPr>
          <w:p w14:paraId="68091594" w14:textId="77777777" w:rsidR="002F639B" w:rsidRPr="00C67733" w:rsidRDefault="002F639B" w:rsidP="00FA5F2F">
            <w:pPr>
              <w:rPr>
                <w:color w:val="000000"/>
                <w:sz w:val="16"/>
              </w:rPr>
            </w:pPr>
            <w:r w:rsidRPr="00C67733">
              <w:rPr>
                <w:color w:val="000000"/>
                <w:sz w:val="16"/>
              </w:rPr>
              <w:sym w:font="Wingdings 2" w:char="F050"/>
            </w:r>
          </w:p>
        </w:tc>
      </w:tr>
      <w:tr w:rsidR="002F639B" w:rsidRPr="00157185" w14:paraId="6809159A" w14:textId="77777777" w:rsidTr="00FA5F2F">
        <w:trPr>
          <w:jc w:val="center"/>
        </w:trPr>
        <w:tc>
          <w:tcPr>
            <w:tcW w:w="1188" w:type="dxa"/>
            <w:shd w:val="clear" w:color="auto" w:fill="auto"/>
          </w:tcPr>
          <w:p w14:paraId="68091596" w14:textId="77777777" w:rsidR="002F639B" w:rsidRPr="00C67733" w:rsidRDefault="002F639B" w:rsidP="00E659B0">
            <w:pPr>
              <w:spacing w:after="0"/>
              <w:ind w:firstLine="0"/>
              <w:rPr>
                <w:b/>
                <w:bCs/>
                <w:color w:val="000000"/>
                <w:sz w:val="16"/>
              </w:rPr>
            </w:pPr>
            <w:r w:rsidRPr="00C67733">
              <w:rPr>
                <w:b/>
                <w:bCs/>
                <w:color w:val="000000"/>
                <w:sz w:val="16"/>
              </w:rPr>
              <w:t xml:space="preserve">Direct </w:t>
            </w:r>
            <w:r w:rsidRPr="00C67733">
              <w:rPr>
                <w:b/>
                <w:bCs/>
                <w:color w:val="000000"/>
                <w:sz w:val="16"/>
              </w:rPr>
              <w:br/>
              <w:t>Manipulation</w:t>
            </w:r>
          </w:p>
        </w:tc>
        <w:tc>
          <w:tcPr>
            <w:tcW w:w="990" w:type="dxa"/>
            <w:shd w:val="clear" w:color="auto" w:fill="auto"/>
          </w:tcPr>
          <w:p w14:paraId="68091597" w14:textId="77777777" w:rsidR="002F639B" w:rsidRPr="00C67733" w:rsidRDefault="002F639B" w:rsidP="00FA5F2F">
            <w:pPr>
              <w:rPr>
                <w:color w:val="000000"/>
                <w:sz w:val="16"/>
              </w:rPr>
            </w:pPr>
            <w:r w:rsidRPr="00C67733">
              <w:rPr>
                <w:color w:val="000000"/>
                <w:sz w:val="16"/>
              </w:rPr>
              <w:sym w:font="Wingdings 2" w:char="F04F"/>
            </w:r>
          </w:p>
        </w:tc>
        <w:tc>
          <w:tcPr>
            <w:tcW w:w="900" w:type="dxa"/>
            <w:shd w:val="clear" w:color="auto" w:fill="auto"/>
          </w:tcPr>
          <w:p w14:paraId="68091598" w14:textId="77777777" w:rsidR="002F639B" w:rsidRPr="00C67733" w:rsidRDefault="002F639B" w:rsidP="00FA5F2F">
            <w:pPr>
              <w:rPr>
                <w:color w:val="000000"/>
                <w:sz w:val="16"/>
              </w:rPr>
            </w:pPr>
            <w:r w:rsidRPr="00C67733">
              <w:rPr>
                <w:color w:val="000000"/>
                <w:sz w:val="16"/>
              </w:rPr>
              <w:sym w:font="Wingdings 2" w:char="F050"/>
            </w:r>
          </w:p>
        </w:tc>
        <w:tc>
          <w:tcPr>
            <w:tcW w:w="1170" w:type="dxa"/>
            <w:shd w:val="clear" w:color="auto" w:fill="auto"/>
          </w:tcPr>
          <w:p w14:paraId="68091599" w14:textId="77777777" w:rsidR="002F639B" w:rsidRPr="00C67733" w:rsidRDefault="002F639B" w:rsidP="00FA5F2F">
            <w:pPr>
              <w:rPr>
                <w:color w:val="000000"/>
                <w:sz w:val="16"/>
              </w:rPr>
            </w:pPr>
            <w:r w:rsidRPr="00C67733">
              <w:rPr>
                <w:color w:val="000000"/>
                <w:sz w:val="16"/>
              </w:rPr>
              <w:t>?</w:t>
            </w:r>
          </w:p>
        </w:tc>
      </w:tr>
    </w:tbl>
    <w:p w14:paraId="6809159B" w14:textId="77777777" w:rsidR="002F639B" w:rsidRPr="00D57D4C" w:rsidRDefault="002F639B" w:rsidP="009A5354">
      <w:pPr>
        <w:pStyle w:val="BodyTextIndent0"/>
      </w:pPr>
    </w:p>
    <w:p w14:paraId="6809159C" w14:textId="77777777" w:rsidR="002F639B" w:rsidRPr="00D57D4C" w:rsidRDefault="002F639B" w:rsidP="009613DE">
      <w:pPr>
        <w:pStyle w:val="Heading2"/>
      </w:pPr>
      <w:r w:rsidRPr="00D57D4C">
        <w:t>Design Goals</w:t>
      </w:r>
    </w:p>
    <w:p w14:paraId="6809159D" w14:textId="77777777" w:rsidR="002F639B" w:rsidRPr="00D57D4C" w:rsidRDefault="002F639B" w:rsidP="000D74F4">
      <w:pPr>
        <w:pStyle w:val="BodyTextNoIndent"/>
      </w:pPr>
      <w:r w:rsidRPr="00D57D4C">
        <w:t xml:space="preserve">Vis-à-vis attempts to find comfortable compromises between all of these points.  Vis-à-vis is designed to be </w:t>
      </w:r>
      <w:r w:rsidRPr="00D57D4C">
        <w:rPr>
          <w:i/>
        </w:rPr>
        <w:t>flexible</w:t>
      </w:r>
      <w:r w:rsidRPr="00D57D4C">
        <w:t xml:space="preserve">, allowing users to create visualizations that have not been seen before, or to add their own twists to existing visualizations; these visualizations should be able to be created by people </w:t>
      </w:r>
      <w:r>
        <w:t>using</w:t>
      </w:r>
      <w:r w:rsidRPr="00D57D4C">
        <w:t xml:space="preserve"> the </w:t>
      </w:r>
      <w:r>
        <w:t xml:space="preserve">same </w:t>
      </w:r>
      <w:r w:rsidRPr="00D57D4C">
        <w:t xml:space="preserve">metaphors </w:t>
      </w:r>
      <w:r>
        <w:t xml:space="preserve">that they are used to from working </w:t>
      </w:r>
      <w:r w:rsidRPr="00D57D4C">
        <w:t>with their d</w:t>
      </w:r>
      <w:r>
        <w:t>ata</w:t>
      </w:r>
      <w:r w:rsidRPr="00D57D4C">
        <w:t xml:space="preserve"> and not develop them from scratch</w:t>
      </w:r>
      <w:r>
        <w:t xml:space="preserve"> in another system or language</w:t>
      </w:r>
      <w:r w:rsidRPr="00D57D4C">
        <w:t xml:space="preserve">. Vis-à-vis is intended to be </w:t>
      </w:r>
      <w:r w:rsidRPr="00D57D4C">
        <w:rPr>
          <w:i/>
        </w:rPr>
        <w:t xml:space="preserve">data bound, </w:t>
      </w:r>
      <w:r w:rsidRPr="00D57D4C">
        <w:t>and</w:t>
      </w:r>
      <w:r w:rsidRPr="00D57D4C">
        <w:rPr>
          <w:i/>
        </w:rPr>
        <w:t xml:space="preserve"> </w:t>
      </w:r>
      <w:r w:rsidRPr="00D57D4C">
        <w:t xml:space="preserve">for it to be possible to </w:t>
      </w:r>
      <w:r w:rsidRPr="00D57D4C">
        <w:rPr>
          <w:i/>
        </w:rPr>
        <w:t>reuse</w:t>
      </w:r>
      <w:r w:rsidRPr="00D57D4C">
        <w:t xml:space="preserve"> components with different data. These components can be </w:t>
      </w:r>
      <w:r w:rsidRPr="00D57D4C">
        <w:rPr>
          <w:i/>
        </w:rPr>
        <w:t>shared</w:t>
      </w:r>
      <w:r w:rsidRPr="00D57D4C">
        <w:t xml:space="preserve"> with other users. Last</w:t>
      </w:r>
      <w:r>
        <w:t>ly</w:t>
      </w:r>
      <w:r w:rsidRPr="00D57D4C">
        <w:t xml:space="preserve">, Vis-à-vis contains elements of a </w:t>
      </w:r>
      <w:r w:rsidRPr="00D57D4C">
        <w:rPr>
          <w:i/>
        </w:rPr>
        <w:t>direct-manipulation</w:t>
      </w:r>
      <w:r w:rsidRPr="00D57D4C">
        <w:t xml:space="preserve"> environment; users can directly modify the visualization through </w:t>
      </w:r>
      <w:r>
        <w:t>selection and commonly used metaphors such as menus and palettes</w:t>
      </w:r>
      <w:r w:rsidRPr="00D57D4C">
        <w:t>.</w:t>
      </w:r>
    </w:p>
    <w:p w14:paraId="6809159E" w14:textId="4165F855" w:rsidR="002F639B" w:rsidRDefault="00876EA0" w:rsidP="00084B78">
      <w:pPr>
        <w:pStyle w:val="BodyTextIndent0"/>
      </w:pPr>
      <w:r>
        <w:t>Critically, Vis-à-vis is designed to be incorporated into the spreadsheet, allowing users to interact with the visualizations in familiar ways</w:t>
      </w:r>
      <w:r w:rsidR="0037328F">
        <w:t xml:space="preserve">, and </w:t>
      </w:r>
      <w:r w:rsidR="00FB2207">
        <w:t>in order to ensure that users can seamlessly move from editing and manipulating data to visualizing it.</w:t>
      </w:r>
      <w:r w:rsidR="00084B78">
        <w:t xml:space="preserve"> This builds a complementary workflow: </w:t>
      </w:r>
      <w:r w:rsidR="002F639B" w:rsidRPr="00D57D4C">
        <w:t xml:space="preserve">a user may </w:t>
      </w:r>
      <w:r w:rsidR="002F639B">
        <w:t>generate data u</w:t>
      </w:r>
      <w:r w:rsidR="002F639B">
        <w:t>s</w:t>
      </w:r>
      <w:r w:rsidR="002F639B">
        <w:t xml:space="preserve">ing a </w:t>
      </w:r>
      <w:r w:rsidR="002F639B" w:rsidRPr="00D57D4C">
        <w:t>formula</w:t>
      </w:r>
      <w:r w:rsidR="002F639B">
        <w:t xml:space="preserve"> and subsequently assign that data to an attribute of the visualization. </w:t>
      </w:r>
    </w:p>
    <w:p w14:paraId="6809159F" w14:textId="412D02DA" w:rsidR="002F639B" w:rsidRPr="00D57D4C" w:rsidRDefault="002F639B" w:rsidP="009A5354">
      <w:pPr>
        <w:pStyle w:val="BodyTextIndent0"/>
      </w:pPr>
      <w:r w:rsidRPr="00D57D4C">
        <w:t>Users can also take advantage of the spreadsheet to compute intermediate values and transform the data, when needed, to be</w:t>
      </w:r>
      <w:r w:rsidRPr="00D57D4C">
        <w:t>t</w:t>
      </w:r>
      <w:r w:rsidRPr="00D57D4C">
        <w:t>ter fit the visualization data binding.</w:t>
      </w:r>
      <w:r>
        <w:t xml:space="preserve"> They can also work incr</w:t>
      </w:r>
      <w:r>
        <w:t>e</w:t>
      </w:r>
      <w:r>
        <w:t>mentally; their actions</w:t>
      </w:r>
      <w:r w:rsidR="00921CF8">
        <w:t>—such as entering formulas</w:t>
      </w:r>
      <w:r>
        <w:t xml:space="preserve"> </w:t>
      </w:r>
      <w:r w:rsidR="00921CF8">
        <w:t>and selecting from menus—</w:t>
      </w:r>
      <w:r>
        <w:t>are immediately reflected in the visualization.</w:t>
      </w:r>
    </w:p>
    <w:p w14:paraId="680915A0" w14:textId="1A5C027D" w:rsidR="002F639B" w:rsidRPr="00D57D4C" w:rsidRDefault="002F639B" w:rsidP="009613DE">
      <w:pPr>
        <w:pStyle w:val="Heading2"/>
      </w:pPr>
      <w:r w:rsidRPr="00D57D4C">
        <w:t xml:space="preserve">The Vis-à-vis </w:t>
      </w:r>
      <w:r w:rsidR="005D196B">
        <w:t>Language</w:t>
      </w:r>
    </w:p>
    <w:p w14:paraId="680915A1" w14:textId="12AD38D5" w:rsidR="002F639B" w:rsidRPr="00D57D4C" w:rsidRDefault="002F639B" w:rsidP="00380DF0">
      <w:pPr>
        <w:pStyle w:val="BodyTextNoIndent"/>
      </w:pPr>
      <w:r w:rsidRPr="00D57D4C">
        <w:t xml:space="preserve">Vis-à-vis </w:t>
      </w:r>
      <w:r w:rsidR="003F0911">
        <w:t xml:space="preserve">is a declarative language incorporated into a spreadsheet. </w:t>
      </w:r>
      <w:r w:rsidR="00544102">
        <w:t xml:space="preserve">The language </w:t>
      </w:r>
      <w:r w:rsidR="00041BAB">
        <w:t xml:space="preserve">represents a visualization as a hierarchy </w:t>
      </w:r>
      <w:r w:rsidR="00544102">
        <w:t>con</w:t>
      </w:r>
      <w:r w:rsidR="00041BAB">
        <w:t>sisting</w:t>
      </w:r>
      <w:r w:rsidR="00544102">
        <w:t xml:space="preserve"> of </w:t>
      </w:r>
      <w:r w:rsidR="00544102">
        <w:rPr>
          <w:b/>
        </w:rPr>
        <w:t>marks</w:t>
      </w:r>
      <w:r w:rsidR="00BE5E90">
        <w:t xml:space="preserve"> </w:t>
      </w:r>
      <w:r w:rsidR="00544102" w:rsidRPr="009D3DB8">
        <w:t>placed</w:t>
      </w:r>
      <w:r w:rsidR="00544102">
        <w:t xml:space="preserve"> on a canvas. </w:t>
      </w:r>
      <w:r w:rsidRPr="00D57D4C">
        <w:t xml:space="preserve">The root of the hierarchy </w:t>
      </w:r>
      <w:r>
        <w:t xml:space="preserve">typically </w:t>
      </w:r>
      <w:r w:rsidRPr="00D57D4C">
        <w:t>contains axes, titles, and a canvas</w:t>
      </w:r>
      <w:r w:rsidR="00E42ED0">
        <w:t xml:space="preserve">. </w:t>
      </w:r>
      <w:r w:rsidRPr="00D57D4C">
        <w:t xml:space="preserve">Marks may be </w:t>
      </w:r>
      <w:r w:rsidR="007A252C">
        <w:t xml:space="preserve">primitive objects </w:t>
      </w:r>
      <w:r w:rsidR="007A252C" w:rsidRPr="00D57D4C">
        <w:t>(such as text, shapes, and images)</w:t>
      </w:r>
      <w:r w:rsidR="007A252C">
        <w:t xml:space="preserve">, or </w:t>
      </w:r>
      <w:r w:rsidRPr="00D57D4C">
        <w:t>compound objects made up of primitive objects.</w:t>
      </w:r>
      <w:r>
        <w:t xml:space="preserve"> </w:t>
      </w:r>
      <w:r w:rsidRPr="00D57D4C">
        <w:t xml:space="preserve">Each mark has a series of </w:t>
      </w:r>
      <w:r>
        <w:t>attributes</w:t>
      </w:r>
      <w:r w:rsidRPr="00D57D4C">
        <w:t xml:space="preserve">: at the least, a position and size; they may have additional dimensions, as applicable. For example, text has a Font attribute, and almost all shapes have a Fill attribute; images have a ‘source’ attribute, and rounded rectangles might have a corner radius. </w:t>
      </w:r>
    </w:p>
    <w:p w14:paraId="680915A2" w14:textId="4DCACC7C" w:rsidR="002F639B" w:rsidRDefault="002F639B" w:rsidP="009A5354">
      <w:pPr>
        <w:pStyle w:val="BodyTextIndent0"/>
      </w:pPr>
      <w:r w:rsidRPr="00D57D4C">
        <w:t>Every field on a mark has a value</w:t>
      </w:r>
      <w:r>
        <w:t xml:space="preserve">.  The value can be </w:t>
      </w:r>
      <w:r w:rsidRPr="00D57D4C">
        <w:t xml:space="preserve">a </w:t>
      </w:r>
      <w:r w:rsidRPr="00D57D4C">
        <w:rPr>
          <w:b/>
        </w:rPr>
        <w:t>co</w:t>
      </w:r>
      <w:r w:rsidRPr="00D57D4C">
        <w:rPr>
          <w:b/>
        </w:rPr>
        <w:t>n</w:t>
      </w:r>
      <w:r w:rsidRPr="00D57D4C">
        <w:rPr>
          <w:b/>
        </w:rPr>
        <w:t>stant</w:t>
      </w:r>
      <w:r w:rsidRPr="00D57D4C">
        <w:t xml:space="preserve">, a </w:t>
      </w:r>
      <w:r w:rsidRPr="00D57D4C">
        <w:rPr>
          <w:b/>
        </w:rPr>
        <w:t>variable</w:t>
      </w:r>
      <w:r w:rsidRPr="00D57D4C">
        <w:t xml:space="preserve">, or a </w:t>
      </w:r>
      <w:r w:rsidRPr="00D57D4C">
        <w:rPr>
          <w:b/>
        </w:rPr>
        <w:t>formula</w:t>
      </w:r>
      <w:r w:rsidRPr="00D57D4C">
        <w:t xml:space="preserve">. </w:t>
      </w:r>
      <w:r>
        <w:t>Each</w:t>
      </w:r>
      <w:r w:rsidRPr="00D57D4C">
        <w:t xml:space="preserve"> field starts </w:t>
      </w:r>
      <w:r>
        <w:t>with</w:t>
      </w:r>
      <w:r w:rsidRPr="00D57D4C">
        <w:t xml:space="preserve"> a constant, default value</w:t>
      </w:r>
      <w:r w:rsidR="006E0A47">
        <w:t xml:space="preserve">; </w:t>
      </w:r>
      <w:r w:rsidR="002671FA">
        <w:t xml:space="preserve">while an object may have many possible fields, </w:t>
      </w:r>
      <w:r w:rsidR="00C4712E">
        <w:t xml:space="preserve">the </w:t>
      </w:r>
      <w:proofErr w:type="gramStart"/>
      <w:r w:rsidR="00C4712E">
        <w:t>majority are</w:t>
      </w:r>
      <w:proofErr w:type="gramEnd"/>
      <w:r w:rsidR="00C4712E">
        <w:t xml:space="preserve"> initially hidden from the </w:t>
      </w:r>
      <w:r>
        <w:t>property list</w:t>
      </w:r>
      <w:r w:rsidRPr="00D57D4C">
        <w:t xml:space="preserve">. </w:t>
      </w:r>
      <w:r w:rsidR="00A21749">
        <w:t xml:space="preserve">When a field’s </w:t>
      </w:r>
      <w:r>
        <w:t xml:space="preserve">value is changed </w:t>
      </w:r>
      <w:r w:rsidR="0018525C">
        <w:t xml:space="preserve">through </w:t>
      </w:r>
      <w:r>
        <w:t>direct manipulation (</w:t>
      </w:r>
      <w:r w:rsidR="00A21749">
        <w:t xml:space="preserve">such as with the </w:t>
      </w:r>
      <w:r>
        <w:t>mouse</w:t>
      </w:r>
      <w:r w:rsidR="00A21749">
        <w:t xml:space="preserve"> or </w:t>
      </w:r>
      <w:r>
        <w:t>palette)</w:t>
      </w:r>
      <w:r w:rsidRPr="00D57D4C">
        <w:t>, it</w:t>
      </w:r>
      <w:r>
        <w:t xml:space="preserve"> then is shown on the property list. </w:t>
      </w:r>
      <w:r w:rsidRPr="00D57D4C">
        <w:t xml:space="preserve"> </w:t>
      </w:r>
    </w:p>
    <w:p w14:paraId="680915A3" w14:textId="76493ECF" w:rsidR="002F639B" w:rsidRPr="00D57D4C" w:rsidRDefault="00755B5D" w:rsidP="009A5354">
      <w:pPr>
        <w:pStyle w:val="BodyTextIndent0"/>
      </w:pPr>
      <w:r>
        <w:rPr>
          <w:noProof/>
        </w:rPr>
        <w:lastRenderedPageBreak/>
        <mc:AlternateContent>
          <mc:Choice Requires="wps">
            <w:drawing>
              <wp:anchor distT="0" distB="0" distL="114300" distR="114300" simplePos="0" relativeHeight="251635712" behindDoc="0" locked="0" layoutInCell="1" allowOverlap="1" wp14:anchorId="68091670" wp14:editId="4CA0B56A">
                <wp:simplePos x="0" y="0"/>
                <wp:positionH relativeFrom="margin">
                  <wp:align>right</wp:align>
                </wp:positionH>
                <wp:positionV relativeFrom="margin">
                  <wp:align>top</wp:align>
                </wp:positionV>
                <wp:extent cx="3166745" cy="1863725"/>
                <wp:effectExtent l="0" t="0" r="0" b="3175"/>
                <wp:wrapSquare wrapText="bothSides"/>
                <wp:docPr id="1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745" cy="1863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916C3" w14:textId="77777777" w:rsidR="003C72FA" w:rsidRDefault="003C72FA" w:rsidP="002F639B">
                            <w:r>
                              <w:rPr>
                                <w:noProof/>
                                <w:lang w:val="en-US"/>
                              </w:rPr>
                              <w:drawing>
                                <wp:inline distT="0" distB="0" distL="0" distR="0" wp14:anchorId="680916DA" wp14:editId="680916DB">
                                  <wp:extent cx="2971800" cy="1428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1428750"/>
                                          </a:xfrm>
                                          <a:prstGeom prst="rect">
                                            <a:avLst/>
                                          </a:prstGeom>
                                          <a:noFill/>
                                          <a:ln>
                                            <a:noFill/>
                                          </a:ln>
                                        </pic:spPr>
                                      </pic:pic>
                                    </a:graphicData>
                                  </a:graphic>
                                </wp:inline>
                              </w:drawing>
                            </w:r>
                          </w:p>
                          <w:p w14:paraId="680916C4" w14:textId="77777777" w:rsidR="003C72FA" w:rsidRDefault="003C72FA" w:rsidP="002F639B">
                            <w:pPr>
                              <w:pStyle w:val="FigureCaption"/>
                            </w:pPr>
                            <w:r>
                              <w:t>Figure 3: A pa</w:t>
                            </w:r>
                            <w:r w:rsidRPr="00D57D4C">
                              <w:t>le</w:t>
                            </w:r>
                            <w:r>
                              <w:t>t</w:t>
                            </w:r>
                            <w:r w:rsidRPr="00D57D4C">
                              <w:t>te of some available styles, with named param</w:t>
                            </w:r>
                            <w:r w:rsidRPr="00D57D4C">
                              <w:t>e</w:t>
                            </w:r>
                            <w:r w:rsidRPr="00D57D4C">
                              <w:t>ters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 o:spid="_x0000_s1026" type="#_x0000_t202" style="position:absolute;left:0;text-align:left;margin-left:198.15pt;margin-top:0;width:249.35pt;height:146.75pt;z-index:25163571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" stroked="f">
                <v:textbox>
                  <w:txbxContent>
                    <w:p w14:paraId="680916C3" w14:textId="77777777" w:rsidR="003C72FA" w:rsidRDefault="003C72FA" w:rsidP="002F639B">
                      <w:r>
                        <w:rPr>
                          <w:noProof/>
                          <w:lang w:val="en-US"/>
                        </w:rPr>
                        <w:drawing>
                          <wp:inline distT="0" distB="0" distL="0" distR="0" wp14:anchorId="680916DA" wp14:editId="680916DB">
                            <wp:extent cx="2971800" cy="1428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1428750"/>
                                    </a:xfrm>
                                    <a:prstGeom prst="rect">
                                      <a:avLst/>
                                    </a:prstGeom>
                                    <a:noFill/>
                                    <a:ln>
                                      <a:noFill/>
                                    </a:ln>
                                  </pic:spPr>
                                </pic:pic>
                              </a:graphicData>
                            </a:graphic>
                          </wp:inline>
                        </w:drawing>
                      </w:r>
                    </w:p>
                    <w:p w14:paraId="680916C4" w14:textId="77777777" w:rsidR="003C72FA" w:rsidRDefault="003C72FA" w:rsidP="002F639B">
                      <w:pPr>
                        <w:pStyle w:val="FigureCaption"/>
                      </w:pPr>
                      <w:r>
                        <w:t>Figure 3: A pa</w:t>
                      </w:r>
                      <w:r w:rsidRPr="00D57D4C">
                        <w:t>le</w:t>
                      </w:r>
                      <w:r>
                        <w:t>t</w:t>
                      </w:r>
                      <w:r w:rsidRPr="00D57D4C">
                        <w:t>te of some available styles, with named parameters</w:t>
                      </w:r>
                    </w:p>
                  </w:txbxContent>
                </v:textbox>
                <w10:wrap type="square" anchorx="margin" anchory="margin"/>
              </v:shape>
            </w:pict>
          </mc:Fallback>
        </mc:AlternateContent>
      </w:r>
      <w:r w:rsidR="002F639B" w:rsidRPr="00D57D4C">
        <w:t>As Vis-à-vis uses</w:t>
      </w:r>
      <w:r w:rsidR="00CA4FC8">
        <w:t xml:space="preserve"> familiar</w:t>
      </w:r>
      <w:r w:rsidR="002F639B" w:rsidRPr="00D57D4C">
        <w:t xml:space="preserve"> spreadsheet </w:t>
      </w:r>
      <w:r w:rsidR="00CA4FC8">
        <w:t>language</w:t>
      </w:r>
      <w:r w:rsidR="002F639B" w:rsidRPr="00D57D4C">
        <w:t>, variables and formulae are addressed with spreadsheet values. For e</w:t>
      </w:r>
      <w:r w:rsidR="002F639B" w:rsidRPr="00D57D4C">
        <w:t>x</w:t>
      </w:r>
      <w:r w:rsidR="002F639B" w:rsidRPr="00D57D4C">
        <w:t>ample, a “height” variable marked as "=</w:t>
      </w:r>
      <w:r w:rsidR="002F639B" w:rsidRPr="00D57D4C">
        <w:rPr>
          <w:i/>
        </w:rPr>
        <w:t>C2"</w:t>
      </w:r>
      <w:r w:rsidR="002F639B" w:rsidRPr="00D57D4C">
        <w:t xml:space="preserve"> means that the height of a shape takes the value of the spreadsheet in the third column, s</w:t>
      </w:r>
      <w:r w:rsidR="002F639B" w:rsidRPr="00D57D4C">
        <w:t>e</w:t>
      </w:r>
      <w:r w:rsidR="002F639B" w:rsidRPr="00D57D4C">
        <w:t xml:space="preserve">cond row; the formula </w:t>
      </w:r>
    </w:p>
    <w:p w14:paraId="680915A4" w14:textId="77777777" w:rsidR="002F639B" w:rsidRPr="00D62836" w:rsidRDefault="002F639B" w:rsidP="009A5354">
      <w:pPr>
        <w:pStyle w:val="BodyTextIndent0"/>
        <w:rPr>
          <w:rFonts w:ascii="Courier New" w:hAnsi="Courier New" w:cs="Courier New"/>
        </w:rPr>
      </w:pPr>
      <w:r w:rsidRPr="00D62836">
        <w:rPr>
          <w:rFonts w:ascii="Courier New" w:hAnsi="Courier New" w:cs="Courier New"/>
        </w:rPr>
        <w:t>=</w:t>
      </w:r>
      <w:proofErr w:type="gramStart"/>
      <w:r w:rsidRPr="00D62836">
        <w:rPr>
          <w:rFonts w:ascii="Courier New" w:hAnsi="Courier New" w:cs="Courier New"/>
        </w:rPr>
        <w:t>SIN(</w:t>
      </w:r>
      <w:proofErr w:type="gramEnd"/>
      <w:r w:rsidRPr="00D62836">
        <w:rPr>
          <w:rFonts w:ascii="Courier New" w:hAnsi="Courier New" w:cs="Courier New"/>
        </w:rPr>
        <w:t>C2) + D3</w:t>
      </w:r>
    </w:p>
    <w:p w14:paraId="680915A5" w14:textId="53475DB2" w:rsidR="002F639B" w:rsidRDefault="002F639B" w:rsidP="000D74F4">
      <w:pPr>
        <w:pStyle w:val="BodyTextNoIndent"/>
      </w:pPr>
      <w:r w:rsidRPr="00D57D4C">
        <w:t>will return the sine of the value of that cell, plus the value of the cell immediately below and to the right of it.</w:t>
      </w:r>
      <w:r w:rsidR="00431EE8">
        <w:t xml:space="preserve"> </w:t>
      </w:r>
    </w:p>
    <w:p w14:paraId="17FB0F34" w14:textId="22E3F69C" w:rsidR="00FC2CCE" w:rsidRPr="00D57D4C" w:rsidRDefault="002E4831" w:rsidP="009A5354">
      <w:pPr>
        <w:pStyle w:val="BodyTextIndent0"/>
      </w:pPr>
      <w:r>
        <w:t>Figure 2 illustrates both the visualization hierarchy, and the ways that formulae are linked to cells.</w:t>
      </w:r>
      <w:r w:rsidR="003E4234">
        <w:t xml:space="preserve"> </w:t>
      </w:r>
      <w:r w:rsidR="00921122">
        <w:t>The formulas the</w:t>
      </w:r>
      <w:r w:rsidR="00921122">
        <w:t>m</w:t>
      </w:r>
      <w:r w:rsidR="00921122">
        <w:t xml:space="preserve">selves are not stored in spreadsheet cells, but rather in </w:t>
      </w:r>
      <w:r w:rsidR="00570A80">
        <w:t>a panel that annotates the canvas. The overall structure of the system is shown on Figure 1.</w:t>
      </w:r>
    </w:p>
    <w:p w14:paraId="680915A7" w14:textId="77777777" w:rsidR="002F639B" w:rsidRPr="00D57D4C" w:rsidRDefault="002F639B" w:rsidP="00C068E8">
      <w:pPr>
        <w:pStyle w:val="Heading3"/>
      </w:pPr>
      <w:r w:rsidRPr="00D57D4C">
        <w:t xml:space="preserve">Formulae and Relative Referencing  </w:t>
      </w:r>
    </w:p>
    <w:p w14:paraId="680915A8" w14:textId="3BFF9513" w:rsidR="002F639B" w:rsidRPr="00D57D4C" w:rsidRDefault="002F639B" w:rsidP="008D1AC5">
      <w:pPr>
        <w:pStyle w:val="BodyTextNoIndent"/>
      </w:pPr>
      <w:r w:rsidRPr="00D57D4C">
        <w:t xml:space="preserve">As with most spreadsheets, references to </w:t>
      </w:r>
      <w:r>
        <w:t>cells</w:t>
      </w:r>
      <w:r w:rsidRPr="00D57D4C">
        <w:t xml:space="preserve"> are </w:t>
      </w:r>
      <w:r w:rsidRPr="00D57D4C">
        <w:rPr>
          <w:i/>
        </w:rPr>
        <w:t>relative</w:t>
      </w:r>
      <w:r>
        <w:rPr>
          <w:i/>
        </w:rPr>
        <w:t xml:space="preserve"> by default</w:t>
      </w:r>
      <w:r w:rsidRPr="00D57D4C">
        <w:t xml:space="preserve">, not absolute, which means that when a formula is copied, it propagates its values appropriately. If a </w:t>
      </w:r>
      <w:r>
        <w:t xml:space="preserve">style that applies to </w:t>
      </w:r>
      <w:r w:rsidR="005221DB">
        <w:t xml:space="preserve">a mark </w:t>
      </w:r>
      <w:r>
        <w:t>cell C2 contains the formula "</w:t>
      </w:r>
      <w:r>
        <w:rPr>
          <w:i/>
        </w:rPr>
        <w:t xml:space="preserve">height </w:t>
      </w:r>
      <w:r>
        <w:t>=C2", when the style is applied to cell C3, then formula will be updated to "</w:t>
      </w:r>
      <w:r>
        <w:rPr>
          <w:i/>
        </w:rPr>
        <w:t xml:space="preserve">height </w:t>
      </w:r>
      <w:r>
        <w:t xml:space="preserve">=C3".  </w:t>
      </w:r>
      <w:r w:rsidRPr="00D57D4C">
        <w:t>To</w:t>
      </w:r>
      <w:r>
        <w:t xml:space="preserve"> </w:t>
      </w:r>
      <w:r w:rsidRPr="00D57D4C">
        <w:t xml:space="preserve">prevent this from happening, the user can use ‘dollar’ notation; </w:t>
      </w:r>
      <w:r w:rsidRPr="00D57D4C">
        <w:rPr>
          <w:i/>
        </w:rPr>
        <w:t>height = C$</w:t>
      </w:r>
      <w:r>
        <w:rPr>
          <w:i/>
        </w:rPr>
        <w:t>2</w:t>
      </w:r>
      <w:r w:rsidRPr="00D57D4C">
        <w:t xml:space="preserve"> will fix the height at the value of C</w:t>
      </w:r>
      <w:r>
        <w:t>2</w:t>
      </w:r>
      <w:r w:rsidRPr="00D57D4C">
        <w:t xml:space="preserve"> for </w:t>
      </w:r>
      <w:r>
        <w:t>all cells in the C column that the visual style is applied to</w:t>
      </w:r>
      <w:r w:rsidRPr="00D57D4C">
        <w:t>. Relative and absolute references can be combined;</w:t>
      </w:r>
      <w:r w:rsidR="007471F9">
        <w:t xml:space="preserve"> setting the formula on  mark’s</w:t>
      </w:r>
      <w:r w:rsidRPr="00D57D4C">
        <w:t xml:space="preserve"> </w:t>
      </w:r>
      <w:r w:rsidRPr="00D57D4C">
        <w:rPr>
          <w:i/>
        </w:rPr>
        <w:t xml:space="preserve">height </w:t>
      </w:r>
      <w:r w:rsidR="007471F9">
        <w:t>to</w:t>
      </w:r>
      <w:r w:rsidR="007471F9" w:rsidRPr="00D57D4C">
        <w:rPr>
          <w:i/>
        </w:rPr>
        <w:t xml:space="preserve"> </w:t>
      </w:r>
      <w:r w:rsidRPr="00D57D4C">
        <w:rPr>
          <w:i/>
        </w:rPr>
        <w:t>C3/C$2</w:t>
      </w:r>
      <w:r w:rsidRPr="00D57D4C">
        <w:t xml:space="preserve"> set the height to be the fraction of C2 that is set by the given cell.</w:t>
      </w:r>
    </w:p>
    <w:p w14:paraId="680915AA" w14:textId="16A50D42" w:rsidR="002F639B" w:rsidRPr="009D3DB8" w:rsidRDefault="002F639B" w:rsidP="009A5354">
      <w:pPr>
        <w:pStyle w:val="BodyTextIndent0"/>
        <w:rPr>
          <w:rFonts w:ascii="Courier New" w:hAnsi="Courier New" w:cs="Courier New"/>
        </w:rPr>
      </w:pPr>
      <w:r w:rsidRPr="00D57D4C">
        <w:t>Users can take advantage of relative referencing to allow refe</w:t>
      </w:r>
      <w:r w:rsidRPr="00D57D4C">
        <w:t>r</w:t>
      </w:r>
      <w:r w:rsidRPr="00D57D4C">
        <w:t xml:space="preserve">ences to ‘previous’ and ‘next’ values. For example, if a user wished to set a point to be red if its value is less than the one before it, they might enter the formula </w:t>
      </w:r>
      <w:r w:rsidRPr="009D3DB8">
        <w:rPr>
          <w:rFonts w:ascii="Courier New" w:hAnsi="Courier New" w:cs="Courier New"/>
        </w:rPr>
        <w:t>color=</w:t>
      </w:r>
      <w:proofErr w:type="gramStart"/>
      <w:r w:rsidRPr="009D3DB8">
        <w:rPr>
          <w:rFonts w:ascii="Courier New" w:hAnsi="Courier New" w:cs="Courier New"/>
        </w:rPr>
        <w:t>IF(</w:t>
      </w:r>
      <w:proofErr w:type="gramEnd"/>
      <w:r w:rsidRPr="009D3DB8">
        <w:rPr>
          <w:rFonts w:ascii="Courier New" w:hAnsi="Courier New" w:cs="Courier New"/>
        </w:rPr>
        <w:t xml:space="preserve"> C2 &lt; C3, “red”, “green”)</w:t>
      </w:r>
    </w:p>
    <w:p w14:paraId="680915AB" w14:textId="77777777" w:rsidR="002F639B" w:rsidRPr="00D57D4C" w:rsidRDefault="002F639B" w:rsidP="00C068E8">
      <w:pPr>
        <w:pStyle w:val="Heading3"/>
      </w:pPr>
      <w:r w:rsidRPr="00D57D4C">
        <w:t>Visual Styles and Compound Shapes</w:t>
      </w:r>
    </w:p>
    <w:p w14:paraId="680915AC" w14:textId="77777777" w:rsidR="002F639B" w:rsidRDefault="002F639B" w:rsidP="009D3DB8">
      <w:pPr>
        <w:pStyle w:val="BodyTextNoIndent"/>
      </w:pPr>
      <w:r>
        <w:rPr>
          <w:noProof/>
          <w:lang w:val="en-US"/>
        </w:rPr>
        <mc:AlternateContent>
          <mc:Choice Requires="wps">
            <w:drawing>
              <wp:inline distT="0" distB="0" distL="0" distR="0" wp14:anchorId="0C7D6DA3" wp14:editId="3C43EFD3">
                <wp:extent cx="3014870" cy="3482340"/>
                <wp:effectExtent l="0" t="0" r="0" b="9525"/>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870" cy="348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916C1" w14:textId="77777777" w:rsidR="003C72FA" w:rsidRDefault="003C72FA" w:rsidP="009D3DB8">
                            <w:pPr>
                              <w:pStyle w:val="BodyTextNoIndent"/>
                              <w:rPr>
                                <w:noProof/>
                              </w:rPr>
                            </w:pPr>
                            <w:r>
                              <w:rPr>
                                <w:noProof/>
                                <w:lang w:val="en-US"/>
                              </w:rPr>
                              <w:drawing>
                                <wp:inline distT="0" distB="0" distL="0" distR="0" wp14:anchorId="680916D8" wp14:editId="48990C80">
                                  <wp:extent cx="2623064" cy="2639736"/>
                                  <wp:effectExtent l="19050" t="19050" r="25400" b="273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9315" cy="2646027"/>
                                          </a:xfrm>
                                          <a:prstGeom prst="rect">
                                            <a:avLst/>
                                          </a:prstGeom>
                                          <a:noFill/>
                                          <a:ln w="6350" cmpd="sng">
                                            <a:solidFill>
                                              <a:srgbClr val="000000"/>
                                            </a:solidFill>
                                            <a:miter lim="800000"/>
                                            <a:headEnd/>
                                            <a:tailEnd/>
                                          </a:ln>
                                          <a:effectLst/>
                                        </pic:spPr>
                                      </pic:pic>
                                    </a:graphicData>
                                  </a:graphic>
                                </wp:inline>
                              </w:drawing>
                            </w:r>
                          </w:p>
                          <w:p w14:paraId="680916C2" w14:textId="77777777" w:rsidR="003C72FA" w:rsidRDefault="003C72FA" w:rsidP="009D3DB8">
                            <w:pPr>
                              <w:pStyle w:val="BodyTextNoIndent"/>
                            </w:pPr>
                            <w:r w:rsidRPr="00D57D4C">
                              <w:t>Figure 2: The visualization hierarchy. The visualizat</w:t>
                            </w:r>
                            <w:r>
                              <w:t>i</w:t>
                            </w:r>
                            <w:r w:rsidRPr="00D57D4C">
                              <w:t>on has a title, two axes, and a canvas; the canvas has a box, which has some fields assigned with var</w:t>
                            </w:r>
                            <w:r>
                              <w:t>ia</w:t>
                            </w:r>
                            <w:r w:rsidRPr="00D57D4C">
                              <w:t>bles and formulae.</w:t>
                            </w:r>
                          </w:p>
                        </w:txbxContent>
                      </wps:txbx>
                      <wps:bodyPr rot="0" vert="horz" wrap="square" lIns="91440" tIns="45720" rIns="91440" bIns="45720" anchor="t" anchorCtr="0" upright="1">
                        <a:spAutoFit/>
                      </wps:bodyPr>
                    </wps:wsp>
                  </a:graphicData>
                </a:graphic>
              </wp:inline>
            </w:drawing>
          </mc:Choice>
          <mc:Fallback>
            <w:pict>
              <v:shape id="Text Box 2" o:spid="_x0000_s1027" type="#_x0000_t202" style="width:237.4pt;height:27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" stroked="f">
                <v:textbox style="mso-fit-shape-to-text:t">
                  <w:txbxContent>
                    <w:p w14:paraId="680916C1" w14:textId="77777777" w:rsidR="003C72FA" w:rsidRDefault="003C72FA" w:rsidP="009D3DB8">
                      <w:pPr>
                        <w:pStyle w:val="BodyTextNoIndent"/>
                        <w:rPr>
                          <w:noProof/>
                        </w:rPr>
                      </w:pPr>
                      <w:r>
                        <w:rPr>
                          <w:noProof/>
                          <w:lang w:val="en-US"/>
                        </w:rPr>
                        <w:drawing>
                          <wp:inline distT="0" distB="0" distL="0" distR="0" wp14:anchorId="680916D8" wp14:editId="48990C80">
                            <wp:extent cx="2623064" cy="2639736"/>
                            <wp:effectExtent l="19050" t="19050" r="25400" b="273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9315" cy="2646027"/>
                                    </a:xfrm>
                                    <a:prstGeom prst="rect">
                                      <a:avLst/>
                                    </a:prstGeom>
                                    <a:noFill/>
                                    <a:ln w="6350" cmpd="sng">
                                      <a:solidFill>
                                        <a:srgbClr val="000000"/>
                                      </a:solidFill>
                                      <a:miter lim="800000"/>
                                      <a:headEnd/>
                                      <a:tailEnd/>
                                    </a:ln>
                                    <a:effectLst/>
                                  </pic:spPr>
                                </pic:pic>
                              </a:graphicData>
                            </a:graphic>
                          </wp:inline>
                        </w:drawing>
                      </w:r>
                    </w:p>
                    <w:p w14:paraId="680916C2" w14:textId="77777777" w:rsidR="003C72FA" w:rsidRDefault="003C72FA" w:rsidP="009D3DB8">
                      <w:pPr>
                        <w:pStyle w:val="BodyTextNoIndent"/>
                      </w:pPr>
                      <w:r w:rsidRPr="00D57D4C">
                        <w:t>Figure 2: The visualization hierarchy. The visualizat</w:t>
                      </w:r>
                      <w:r>
                        <w:t>i</w:t>
                      </w:r>
                      <w:r w:rsidRPr="00D57D4C">
                        <w:t>on has a title, two axes, and a canvas; the canvas has a box, which has some fields assigned with var</w:t>
                      </w:r>
                      <w:r>
                        <w:t>ia</w:t>
                      </w:r>
                      <w:r w:rsidRPr="00D57D4C">
                        <w:t>bles and formulae.</w:t>
                      </w:r>
                    </w:p>
                  </w:txbxContent>
                </v:textbox>
                <w10:anchorlock/>
              </v:shape>
            </w:pict>
          </mc:Fallback>
        </mc:AlternateContent>
      </w:r>
      <w:r w:rsidRPr="00D57D4C">
        <w:t xml:space="preserve">A style is a mechanism for saving the mapping between spread-sheet elements and shape attributes. </w:t>
      </w:r>
      <w:r>
        <w:t>It is the basis for re-use across elements within a single visualization or across multiple visualizations. We will describe visual styles in detail in the walkthrough section below.</w:t>
      </w:r>
    </w:p>
    <w:p w14:paraId="680915AD" w14:textId="77777777" w:rsidR="002F639B" w:rsidRPr="00D57D4C" w:rsidRDefault="002F639B" w:rsidP="009A5354">
      <w:pPr>
        <w:pStyle w:val="BodyTextIndent0"/>
      </w:pPr>
      <w:r>
        <w:t xml:space="preserve">Visual styles also allow for </w:t>
      </w:r>
      <w:r w:rsidRPr="00D57D4C">
        <w:t>the creation and mapping of co</w:t>
      </w:r>
      <w:r w:rsidRPr="00D57D4C">
        <w:t>m</w:t>
      </w:r>
      <w:r w:rsidRPr="00D57D4C">
        <w:t>pound shapes with their own parameters. While Vis-à-vis comes with a palette of primitive shapes, a user is likely to want to repl</w:t>
      </w:r>
      <w:r w:rsidRPr="00D57D4C">
        <w:t>i</w:t>
      </w:r>
      <w:r w:rsidRPr="00D57D4C">
        <w:t>cate their primitives across the board with arguments. For exa</w:t>
      </w:r>
      <w:r w:rsidRPr="00D57D4C">
        <w:t>m</w:t>
      </w:r>
      <w:r w:rsidRPr="00D57D4C">
        <w:t xml:space="preserve">ple, error bars can be understood as four shapes: a top and bottom cap, a line in between, and a marker at the mean. Rather than addressing these shapes as four separate elements filled with formulae, cell references, and constants, a user can store all of these together as a style. The style might take only parameters “index”, “mean”, and “standard deviation”, allowing users to easily remember how to apply it. </w:t>
      </w:r>
    </w:p>
    <w:p w14:paraId="680915AE" w14:textId="77777777" w:rsidR="002F639B" w:rsidRDefault="002F639B" w:rsidP="009A5354">
      <w:pPr>
        <w:pStyle w:val="BodyTextIndent0"/>
      </w:pPr>
      <w:r w:rsidRPr="00D57D4C">
        <w:t xml:space="preserve">When a shape with fields is added to a style, constants remain constant. </w:t>
      </w:r>
      <w:r>
        <w:t>Relative cell references</w:t>
      </w:r>
      <w:r w:rsidRPr="00D57D4C">
        <w:t xml:space="preserve">, including those that appear within formulas, become named parameters to the style. </w:t>
      </w:r>
    </w:p>
    <w:p w14:paraId="7E0B7601" w14:textId="16B5888E" w:rsidR="00D23766" w:rsidRPr="00D57D4C" w:rsidRDefault="00D23766" w:rsidP="009A5354">
      <w:pPr>
        <w:pStyle w:val="BodyTextIndent0"/>
      </w:pPr>
      <w:r w:rsidRPr="00D57D4C">
        <w:t xml:space="preserve">Styles encapsulate </w:t>
      </w:r>
      <w:r>
        <w:t>the</w:t>
      </w:r>
      <w:r w:rsidRPr="00D57D4C">
        <w:t xml:space="preserve"> information about how data should be rendered; </w:t>
      </w:r>
      <w:proofErr w:type="gramStart"/>
      <w:r w:rsidRPr="00D57D4C">
        <w:t>a visualization</w:t>
      </w:r>
      <w:proofErr w:type="gramEnd"/>
      <w:r w:rsidRPr="00D57D4C">
        <w:t xml:space="preserve"> can therefore be understood as one or more visual styles, bound to one or more sources of data. </w:t>
      </w:r>
    </w:p>
    <w:p w14:paraId="680915AF" w14:textId="77777777" w:rsidR="002F639B" w:rsidRPr="00D57D4C" w:rsidRDefault="002F639B" w:rsidP="00C068E8">
      <w:pPr>
        <w:pStyle w:val="Heading3"/>
      </w:pPr>
      <w:r w:rsidRPr="00D57D4C">
        <w:t xml:space="preserve">Sharing </w:t>
      </w:r>
      <w:r w:rsidRPr="00C068E8">
        <w:t>and</w:t>
      </w:r>
      <w:r w:rsidRPr="00D57D4C">
        <w:t xml:space="preserve"> Reusing Visualizations</w:t>
      </w:r>
    </w:p>
    <w:p w14:paraId="680915B0" w14:textId="030F1FF2" w:rsidR="002F639B" w:rsidRPr="00D57D4C" w:rsidRDefault="002F639B" w:rsidP="008D1AC5">
      <w:pPr>
        <w:pStyle w:val="BodyTextNoIndent"/>
      </w:pPr>
      <w:r w:rsidRPr="00D57D4C">
        <w:t>The style mechanism allows visualizations to be re-used and modified by later users. Within the Vis-à-vis interface, users can create new styles</w:t>
      </w:r>
      <w:r>
        <w:t xml:space="preserve"> either from scratch or by modifying existing styles</w:t>
      </w:r>
      <w:r w:rsidRPr="00D57D4C">
        <w:t xml:space="preserve">; </w:t>
      </w:r>
      <w:r>
        <w:t xml:space="preserve">they may update existing </w:t>
      </w:r>
      <w:r w:rsidRPr="00D57D4C">
        <w:t xml:space="preserve">styles, </w:t>
      </w:r>
      <w:r>
        <w:t xml:space="preserve">or </w:t>
      </w:r>
      <w:r w:rsidRPr="00D57D4C">
        <w:t xml:space="preserve">bind an existing style to </w:t>
      </w:r>
      <w:r>
        <w:t>ranges of data with</w:t>
      </w:r>
      <w:r w:rsidRPr="00D57D4C">
        <w:t>in the spreadsheet. With these tools, users can share and publish visualizations.</w:t>
      </w:r>
      <w:r w:rsidR="00C305A3">
        <w:t xml:space="preserve"> In figure 3, the user </w:t>
      </w:r>
      <w:r w:rsidR="00B25E36">
        <w:t>is selecting which visual style to apply to a visualization.</w:t>
      </w:r>
    </w:p>
    <w:p w14:paraId="3A2CBDCF" w14:textId="1229CA38" w:rsidR="00AA4AC9" w:rsidRPr="00D57D4C" w:rsidRDefault="00AA4AC9" w:rsidP="009D3DB8">
      <w:pPr>
        <w:pStyle w:val="Heading3"/>
      </w:pPr>
      <w:r>
        <w:t>Brushing and Linking</w:t>
      </w:r>
    </w:p>
    <w:p w14:paraId="6221665E" w14:textId="10EE85B0" w:rsidR="00A620FC" w:rsidRDefault="00AA4AC9" w:rsidP="009A5354">
      <w:pPr>
        <w:pStyle w:val="BodyTextNoIndent"/>
      </w:pPr>
      <w:r>
        <w:t xml:space="preserve">All data is linked between the spreadsheet and the visualization, so that when cells in the spreadsheet are selected, </w:t>
      </w:r>
      <w:r w:rsidR="00B162DC">
        <w:t xml:space="preserve">any marks that use these cells </w:t>
      </w:r>
      <w:r>
        <w:t xml:space="preserve">in the visualization are also selected. Likewise, selecting marks in the visualization will select cells that are used in the visual style for that element. </w:t>
      </w:r>
      <w:r w:rsidR="00B162DC">
        <w:t xml:space="preserve">In a simple bar chart, for example, </w:t>
      </w:r>
      <w:r>
        <w:t xml:space="preserve">the user </w:t>
      </w:r>
      <w:r w:rsidR="00B162DC">
        <w:t xml:space="preserve">might decide to select some set of data values in the spreadsheet. The corresponding bar would be selected; the user could then </w:t>
      </w:r>
      <w:r>
        <w:t>change the fill color with the Fill Menu.</w:t>
      </w:r>
      <w:r w:rsidR="00B162DC">
        <w:t xml:space="preserve"> Conversely, in order to discover the data that created a mark, a user can simply select the mark to have the underlying data selected.</w:t>
      </w:r>
    </w:p>
    <w:p w14:paraId="7628BDC2" w14:textId="79C63048" w:rsidR="00CD3813" w:rsidRPr="009A5354" w:rsidRDefault="009A5354" w:rsidP="009A5354">
      <w:pPr>
        <w:pStyle w:val="BodyTextIndent0"/>
      </w:pPr>
      <w:r>
        <w:t xml:space="preserve">The system also supports tooltips. When the user hovers over a mark, the system displays all the parameters </w:t>
      </w:r>
      <w:r w:rsidR="000B5EB6">
        <w:t xml:space="preserve">that are </w:t>
      </w:r>
      <w:proofErr w:type="gramStart"/>
      <w:r w:rsidR="000B5EB6">
        <w:t>populated  by</w:t>
      </w:r>
      <w:proofErr w:type="gramEnd"/>
      <w:r w:rsidR="000B5EB6">
        <w:t xml:space="preserve"> formula, </w:t>
      </w:r>
      <w:r>
        <w:t>and their values.</w:t>
      </w:r>
    </w:p>
    <w:p w14:paraId="7B945770" w14:textId="530DD270" w:rsidR="009D2592" w:rsidRDefault="00C95CA5" w:rsidP="009D3DB8">
      <w:pPr>
        <w:pStyle w:val="Heading3"/>
      </w:pPr>
      <w:r>
        <w:t xml:space="preserve">Changing </w:t>
      </w:r>
      <w:r w:rsidR="00644F84">
        <w:t>Data or Formulae Updates the Visualization</w:t>
      </w:r>
    </w:p>
    <w:p w14:paraId="66F7021A" w14:textId="66A41CC2" w:rsidR="00004DB9" w:rsidRDefault="00E6358E" w:rsidP="009D3DB8">
      <w:pPr>
        <w:pStyle w:val="BodyTextNoIndent"/>
      </w:pPr>
      <w:r>
        <w:t>U</w:t>
      </w:r>
      <w:r w:rsidR="00644F84">
        <w:t xml:space="preserve">sers of </w:t>
      </w:r>
      <w:r>
        <w:t xml:space="preserve">many programming languages, including visualization languages, expect to make changes to code, and then execute the resulting system. In contrast, </w:t>
      </w:r>
      <w:r w:rsidR="003010E0">
        <w:t>users of spreadsheets expect to see formulae update across the sheet</w:t>
      </w:r>
      <w:r w:rsidR="00AB15F9">
        <w:t xml:space="preserve"> with changes. Vis-a-vis maintains </w:t>
      </w:r>
      <w:r w:rsidR="00AB15F9">
        <w:rPr>
          <w:rFonts w:ascii="Times" w:hAnsi="Times"/>
          <w:lang w:val="en-US"/>
        </w:rPr>
        <w:t xml:space="preserve">a </w:t>
      </w:r>
      <w:r w:rsidR="00004DB9" w:rsidRPr="00D57D4C">
        <w:t xml:space="preserve">dependency graph of formulas </w:t>
      </w:r>
      <w:r w:rsidR="00AB15F9">
        <w:t xml:space="preserve">to </w:t>
      </w:r>
      <w:r w:rsidR="00004DB9" w:rsidRPr="00D57D4C">
        <w:t>support automatic updates of dependent targets (cells and visualization attributes) when data is changed.</w:t>
      </w:r>
      <w:r w:rsidR="00AB15F9">
        <w:t xml:space="preserve"> Therefore, the visualization is changed when a formula, value, or attribute is altered.</w:t>
      </w:r>
    </w:p>
    <w:p w14:paraId="5387CE0D" w14:textId="6D4682B1" w:rsidR="00AB15F9" w:rsidRPr="00D57D4C" w:rsidRDefault="00963150" w:rsidP="009A5354">
      <w:pPr>
        <w:pStyle w:val="BodyTextIndent0"/>
      </w:pPr>
      <w:r>
        <w:t xml:space="preserve">As a result, </w:t>
      </w:r>
      <w:r w:rsidR="00E8316E">
        <w:t xml:space="preserve">Vis-à-vis </w:t>
      </w:r>
      <w:r w:rsidR="008160B2">
        <w:t>can be used to create a visual ‘das</w:t>
      </w:r>
      <w:r w:rsidR="008160B2">
        <w:t>h</w:t>
      </w:r>
      <w:r w:rsidR="008160B2">
        <w:t xml:space="preserve">board’, with the visualization changing and updating </w:t>
      </w:r>
      <w:r w:rsidR="00E8316E">
        <w:t xml:space="preserve">as values </w:t>
      </w:r>
      <w:r w:rsidR="008160B2">
        <w:t xml:space="preserve">in the spreadsheet </w:t>
      </w:r>
      <w:r w:rsidR="00E8316E">
        <w:t>change.</w:t>
      </w:r>
    </w:p>
    <w:p w14:paraId="680915B2" w14:textId="5567A587" w:rsidR="002F639B" w:rsidRDefault="008C676F" w:rsidP="009613DE">
      <w:pPr>
        <w:pStyle w:val="Heading2"/>
      </w:pPr>
      <w:r>
        <w:rPr>
          <w:noProof/>
          <w:lang w:val="en-US"/>
        </w:rPr>
        <w:lastRenderedPageBreak/>
        <mc:AlternateContent>
          <mc:Choice Requires="wps">
            <w:drawing>
              <wp:anchor distT="0" distB="0" distL="114300" distR="114300" simplePos="0" relativeHeight="251646976" behindDoc="0" locked="0" layoutInCell="1" allowOverlap="1" wp14:anchorId="68091672" wp14:editId="372C37C5">
                <wp:simplePos x="3854450" y="1174115"/>
                <wp:positionH relativeFrom="margin">
                  <wp:align>left</wp:align>
                </wp:positionH>
                <wp:positionV relativeFrom="margin">
                  <wp:align>bottom</wp:align>
                </wp:positionV>
                <wp:extent cx="3012440" cy="2292985"/>
                <wp:effectExtent l="0" t="0" r="0" b="0"/>
                <wp:wrapSquare wrapText="bothSides"/>
                <wp:docPr id="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2440" cy="2292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916C5" w14:textId="77777777" w:rsidR="003C72FA" w:rsidRDefault="003C72FA" w:rsidP="00FE3F65">
                            <w:pPr>
                              <w:spacing w:after="0"/>
                              <w:ind w:firstLine="0"/>
                              <w:jc w:val="left"/>
                            </w:pPr>
                            <w:r>
                              <w:rPr>
                                <w:noProof/>
                                <w:lang w:val="en-US"/>
                              </w:rPr>
                              <w:drawing>
                                <wp:inline distT="0" distB="0" distL="0" distR="0" wp14:anchorId="680916DC" wp14:editId="56B8AC96">
                                  <wp:extent cx="2984550" cy="16573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6038" cy="1658176"/>
                                          </a:xfrm>
                                          <a:prstGeom prst="rect">
                                            <a:avLst/>
                                          </a:prstGeom>
                                          <a:noFill/>
                                          <a:ln>
                                            <a:noFill/>
                                          </a:ln>
                                        </pic:spPr>
                                      </pic:pic>
                                    </a:graphicData>
                                  </a:graphic>
                                </wp:inline>
                              </w:drawing>
                            </w:r>
                          </w:p>
                          <w:p w14:paraId="680916C7" w14:textId="2C3E9ADC" w:rsidR="003C72FA" w:rsidRDefault="003C72FA" w:rsidP="00E754EB">
                            <w:pPr>
                              <w:pStyle w:val="FigureCaption"/>
                            </w:pPr>
                            <w:r w:rsidRPr="00D57D4C">
                              <w:t xml:space="preserve">Figure 4: Assigning a variable to fields. A bar in the chart has width 1, a Y value of 0, an X position of “=A2” (its index) and a height of “=B2” (its value). </w:t>
                            </w:r>
                            <w:r>
                              <w:t xml:space="preserve">Later on, we show a function, </w:t>
                            </w:r>
                            <w:proofErr w:type="spellStart"/>
                            <w:proofErr w:type="gramStart"/>
                            <w:r w:rsidRPr="00B6021C">
                              <w:rPr>
                                <w:i/>
                              </w:rPr>
                              <w:t>rowindex</w:t>
                            </w:r>
                            <w:proofErr w:type="spellEnd"/>
                            <w:r w:rsidRPr="00B6021C">
                              <w:rPr>
                                <w:i/>
                              </w:rPr>
                              <w:t>(</w:t>
                            </w:r>
                            <w:proofErr w:type="gramEnd"/>
                            <w:r w:rsidRPr="00B6021C">
                              <w:rPr>
                                <w:i/>
                              </w:rPr>
                              <w:t>)</w:t>
                            </w:r>
                            <w:r>
                              <w:t xml:space="preserve"> that lets us skip using a cell in the spreadsheet for this purpose.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28" type="#_x0000_t202" style="position:absolute;left:0;text-align:left;margin-left:0;margin-top:0;width:237.2pt;height:180.55pt;z-index:25164697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" stroked="f">
                <v:textbox inset="0,,0">
                  <w:txbxContent>
                    <w:p w14:paraId="680916C5" w14:textId="77777777" w:rsidR="003C72FA" w:rsidRDefault="003C72FA" w:rsidP="00FE3F65">
                      <w:pPr>
                        <w:spacing w:after="0"/>
                        <w:ind w:firstLine="0"/>
                        <w:jc w:val="left"/>
                      </w:pPr>
                      <w:r>
                        <w:rPr>
                          <w:noProof/>
                          <w:lang w:val="en-US"/>
                        </w:rPr>
                        <w:drawing>
                          <wp:inline distT="0" distB="0" distL="0" distR="0" wp14:anchorId="680916DC" wp14:editId="56B8AC96">
                            <wp:extent cx="2984550" cy="16573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6038" cy="1658176"/>
                                    </a:xfrm>
                                    <a:prstGeom prst="rect">
                                      <a:avLst/>
                                    </a:prstGeom>
                                    <a:noFill/>
                                    <a:ln>
                                      <a:noFill/>
                                    </a:ln>
                                  </pic:spPr>
                                </pic:pic>
                              </a:graphicData>
                            </a:graphic>
                          </wp:inline>
                        </w:drawing>
                      </w:r>
                    </w:p>
                    <w:p w14:paraId="680916C7" w14:textId="2C3E9ADC" w:rsidR="003C72FA" w:rsidRDefault="003C72FA" w:rsidP="00E754EB">
                      <w:pPr>
                        <w:pStyle w:val="FigureCaption"/>
                      </w:pPr>
                      <w:r w:rsidRPr="00D57D4C">
                        <w:t xml:space="preserve">Figure 4: Assigning a variable to fields. A bar in the chart has width 1, a Y value of 0, an X position of “=A2” (its index) and a height of “=B2” (its value). </w:t>
                      </w:r>
                      <w:r>
                        <w:t xml:space="preserve">Later on, we show a function, </w:t>
                      </w:r>
                      <w:proofErr w:type="spellStart"/>
                      <w:proofErr w:type="gramStart"/>
                      <w:r w:rsidRPr="00B6021C">
                        <w:rPr>
                          <w:i/>
                        </w:rPr>
                        <w:t>rowindex</w:t>
                      </w:r>
                      <w:proofErr w:type="spellEnd"/>
                      <w:r w:rsidRPr="00B6021C">
                        <w:rPr>
                          <w:i/>
                        </w:rPr>
                        <w:t>(</w:t>
                      </w:r>
                      <w:proofErr w:type="gramEnd"/>
                      <w:r w:rsidRPr="00B6021C">
                        <w:rPr>
                          <w:i/>
                        </w:rPr>
                        <w:t>)</w:t>
                      </w:r>
                      <w:r>
                        <w:t xml:space="preserve"> that lets us skip using a cell in the spreadsheet for this purpose.</w:t>
                      </w:r>
                    </w:p>
                  </w:txbxContent>
                </v:textbox>
                <w10:wrap type="square" anchorx="margin" anchory="margin"/>
              </v:shape>
            </w:pict>
          </mc:Fallback>
        </mc:AlternateContent>
      </w:r>
      <w:r w:rsidR="002F639B" w:rsidRPr="00D57D4C" w:rsidDel="002C44C0">
        <w:t xml:space="preserve"> </w:t>
      </w:r>
      <w:r w:rsidR="002F639B" w:rsidRPr="00D57D4C">
        <w:t>A Walkthrough of the Interface</w:t>
      </w:r>
    </w:p>
    <w:p w14:paraId="680915B3" w14:textId="0F83FC03" w:rsidR="002F639B" w:rsidRPr="00D57D4C" w:rsidRDefault="002F639B" w:rsidP="009D3DB8">
      <w:pPr>
        <w:pStyle w:val="BodyTextNoIndent"/>
      </w:pPr>
      <w:r w:rsidRPr="00D57D4C">
        <w:t>We discuss the design of the system by walking through the process of creating a simple visualization. In this walkthrough, we create a column chart, and then modify it to be a ‘waterfall’ chart, a common business graphic that shows cumulative values.</w:t>
      </w:r>
      <w:r>
        <w:t xml:space="preserve"> </w:t>
      </w:r>
    </w:p>
    <w:p w14:paraId="680915B4" w14:textId="77777777" w:rsidR="002F639B" w:rsidRPr="00D57D4C" w:rsidRDefault="002F639B" w:rsidP="009A5354">
      <w:pPr>
        <w:pStyle w:val="BodyTextIndent0"/>
      </w:pPr>
      <w:r w:rsidRPr="00D57D4C">
        <w:t xml:space="preserve">While in this example we create </w:t>
      </w:r>
      <w:proofErr w:type="gramStart"/>
      <w:r w:rsidRPr="00D57D4C">
        <w:t>a visualization</w:t>
      </w:r>
      <w:proofErr w:type="gramEnd"/>
      <w:r w:rsidRPr="00D57D4C">
        <w:t xml:space="preserve"> from a blank canvas, users will more often modify and enhance an existing visualization. This walkthrough, however, allows us to better illustrate </w:t>
      </w:r>
      <w:r>
        <w:t xml:space="preserve">the capabilities of the system for creating a visualization that does not currently exist in most spreadsheet systems. </w:t>
      </w:r>
      <w:r w:rsidRPr="00D57D4C">
        <w:t>The initial data has two columns, storing an index (column A), and corresponding values (column B). A1 and B1 contain headers, so the data runs from A2 through A21, and B2 through B21.</w:t>
      </w:r>
    </w:p>
    <w:p w14:paraId="680915B5" w14:textId="77777777" w:rsidR="002F639B" w:rsidRPr="00D57D4C" w:rsidRDefault="002F639B" w:rsidP="009A5354">
      <w:pPr>
        <w:pStyle w:val="BodyTextIndent0"/>
      </w:pPr>
      <w:r w:rsidRPr="00D57D4C">
        <w:t>The accompanying video figure shows a similar process, and creates a similar pair of visualizations.</w:t>
      </w:r>
    </w:p>
    <w:p w14:paraId="680915B6" w14:textId="77777777" w:rsidR="002F639B" w:rsidRPr="00D57D4C" w:rsidRDefault="002F639B" w:rsidP="00C068E8">
      <w:pPr>
        <w:pStyle w:val="Heading3"/>
      </w:pPr>
      <w:r w:rsidRPr="00D57D4C">
        <w:t>Creating and editing an object</w:t>
      </w:r>
    </w:p>
    <w:p w14:paraId="34AA1CB6" w14:textId="77777777" w:rsidR="007E00F1" w:rsidRDefault="002F639B" w:rsidP="007E00F1">
      <w:pPr>
        <w:pStyle w:val="BodyTextNoIndent"/>
      </w:pPr>
      <w:r w:rsidRPr="00D57D4C">
        <w:t xml:space="preserve">When the user begins Vis-à-vis, they are given a blank canvas with a </w:t>
      </w:r>
      <w:r>
        <w:t xml:space="preserve">default </w:t>
      </w:r>
      <w:r w:rsidRPr="00D57D4C">
        <w:t xml:space="preserve">pair of axes. The user can use standard drawing tools to create and drag arbitrary lines and objects onto the canvas.  The objects can be moved, resized, and colored using standard </w:t>
      </w:r>
      <w:r>
        <w:t>direct manipulation techniques</w:t>
      </w:r>
      <w:r w:rsidRPr="00D57D4C">
        <w:t>.</w:t>
      </w:r>
      <w:r w:rsidR="007E00F1">
        <w:t xml:space="preserve"> </w:t>
      </w:r>
    </w:p>
    <w:p w14:paraId="680915B8" w14:textId="63D7CD6F" w:rsidR="002F639B" w:rsidRDefault="007E00F1" w:rsidP="00740335">
      <w:pPr>
        <w:pStyle w:val="BodyTextIndent0"/>
      </w:pPr>
      <w:r>
        <w:t>Unlike previous spreadsheets-of-visualizations [</w:t>
      </w:r>
      <w:r w:rsidR="002C4788">
        <w:t>CRB*98</w:t>
      </w:r>
      <w:r>
        <w:t xml:space="preserve">, </w:t>
      </w:r>
      <w:r w:rsidR="002C4788">
        <w:t>PIE86</w:t>
      </w:r>
      <w:r>
        <w:t xml:space="preserve">], Vis-à-vis instead creates its visualization in separate drawing area (Figure 1). The drawing area consists of both the drawing canvas and </w:t>
      </w:r>
      <w:r w:rsidR="00605B54">
        <w:t>the visualization builder</w:t>
      </w:r>
      <w:r>
        <w:t>.</w:t>
      </w:r>
      <w:r w:rsidR="00740335">
        <w:t xml:space="preserve"> </w:t>
      </w:r>
      <w:r w:rsidR="002F639B" w:rsidRPr="00D57D4C">
        <w:t>The visualization builder window (Figure 2) contains a list of the objects that are currently on the canvas. Each object can be opened and attributes of the object can be modified via a property explorer. Attributes change as the user modifies the object on the canvas – for exa</w:t>
      </w:r>
      <w:r w:rsidR="002F639B" w:rsidRPr="00D57D4C">
        <w:t>m</w:t>
      </w:r>
      <w:r w:rsidR="002F639B" w:rsidRPr="00D57D4C">
        <w:t xml:space="preserve">ple, as the user resizes a rectangle, its </w:t>
      </w:r>
      <w:r w:rsidR="002F639B">
        <w:t xml:space="preserve">updated </w:t>
      </w:r>
      <w:r w:rsidR="002F639B" w:rsidRPr="00D57D4C">
        <w:t xml:space="preserve">width and height </w:t>
      </w:r>
      <w:r w:rsidR="002F639B">
        <w:t>values are reflected in the property explorer.</w:t>
      </w:r>
      <w:r w:rsidR="002F639B" w:rsidRPr="00D57D4C">
        <w:t xml:space="preserve"> Attributes can also be set to a constant value or formula by typing the value into the property explorer. </w:t>
      </w:r>
    </w:p>
    <w:p w14:paraId="680915B9" w14:textId="77777777" w:rsidR="002F639B" w:rsidRPr="00D57D4C" w:rsidRDefault="002F639B" w:rsidP="00C068E8">
      <w:pPr>
        <w:pStyle w:val="Heading3"/>
      </w:pPr>
      <w:r w:rsidRPr="00D57D4C">
        <w:t>Screen space and coordinate space</w:t>
      </w:r>
    </w:p>
    <w:p w14:paraId="680915BA" w14:textId="017D148B" w:rsidR="002F639B" w:rsidRDefault="0078682F" w:rsidP="000D74F4">
      <w:pPr>
        <w:pStyle w:val="BodyTextNoIndent"/>
      </w:pPr>
      <w:r>
        <w:rPr>
          <w:noProof/>
          <w:lang w:val="en-US"/>
        </w:rPr>
        <mc:AlternateContent>
          <mc:Choice Requires="wps">
            <w:drawing>
              <wp:anchor distT="0" distB="0" distL="114300" distR="114300" simplePos="0" relativeHeight="251681792" behindDoc="0" locked="0" layoutInCell="1" allowOverlap="1" wp14:anchorId="05EFD037" wp14:editId="393069A6">
                <wp:simplePos x="0" y="0"/>
                <wp:positionH relativeFrom="margin">
                  <wp:align>right</wp:align>
                </wp:positionH>
                <wp:positionV relativeFrom="margin">
                  <wp:align>bottom</wp:align>
                </wp:positionV>
                <wp:extent cx="2918460" cy="3613150"/>
                <wp:effectExtent l="0" t="0" r="0" b="6350"/>
                <wp:wrapSquare wrapText="bothSides"/>
                <wp:docPr id="6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8460" cy="3613541"/>
                        </a:xfrm>
                        <a:prstGeom prst="rect">
                          <a:avLst/>
                        </a:prstGeom>
                        <a:solidFill>
                          <a:sysClr val="window" lastClr="FFFFFF"/>
                        </a:solidFill>
                        <a:ln w="6350">
                          <a:noFill/>
                        </a:ln>
                        <a:effectLst/>
                      </wps:spPr>
                      <wps:txbx>
                        <w:txbxContent>
                          <w:p w14:paraId="3B56201A" w14:textId="77777777" w:rsidR="003C72FA" w:rsidRDefault="003C72FA" w:rsidP="00C71F95">
                            <w:pPr>
                              <w:ind w:firstLine="0"/>
                            </w:pPr>
                            <w:r>
                              <w:rPr>
                                <w:noProof/>
                                <w:lang w:val="en-US"/>
                              </w:rPr>
                              <w:drawing>
                                <wp:inline distT="0" distB="0" distL="0" distR="0" wp14:anchorId="10B953B9" wp14:editId="30CD90FD">
                                  <wp:extent cx="2794111" cy="292608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4111" cy="2926080"/>
                                          </a:xfrm>
                                          <a:prstGeom prst="rect">
                                            <a:avLst/>
                                          </a:prstGeom>
                                          <a:noFill/>
                                          <a:ln>
                                            <a:noFill/>
                                          </a:ln>
                                        </pic:spPr>
                                      </pic:pic>
                                    </a:graphicData>
                                  </a:graphic>
                                </wp:inline>
                              </w:drawing>
                            </w:r>
                            <w:r w:rsidRPr="003156AC">
                              <w:rPr>
                                <w:noProof/>
                              </w:rPr>
                              <w:t xml:space="preserve"> </w:t>
                            </w:r>
                          </w:p>
                          <w:p w14:paraId="721A5FA8" w14:textId="77777777" w:rsidR="003C72FA" w:rsidRDefault="003C72FA" w:rsidP="00C71F95">
                            <w:pPr>
                              <w:pStyle w:val="FigureCaption"/>
                            </w:pPr>
                            <w:r>
                              <w:t xml:space="preserve">Figure 5: </w:t>
                            </w:r>
                            <w:r w:rsidRPr="00EB4AC1">
                              <w:t>Styling a chart. The Column Chart style takes two p</w:t>
                            </w:r>
                            <w:r w:rsidRPr="00EB4AC1">
                              <w:t>a</w:t>
                            </w:r>
                            <w:r w:rsidRPr="00EB4AC1">
                              <w:t xml:space="preserve">rameters which are propagated to the drawn Box. The detail </w:t>
                            </w:r>
                            <w:proofErr w:type="spellStart"/>
                            <w:r w:rsidRPr="00EB4AC1">
                              <w:t>belows</w:t>
                            </w:r>
                            <w:proofErr w:type="spellEnd"/>
                            <w:r w:rsidRPr="00EB4AC1">
                              <w:t xml:space="preserve"> shows the columns bound to the parameters: Index in blue, Value in gray. The regions can be dragged to bind more values to the style.</w:t>
                            </w:r>
                          </w:p>
                          <w:p w14:paraId="78D4A48B" w14:textId="77777777" w:rsidR="003C72FA" w:rsidRDefault="003C72FA" w:rsidP="00C71F9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9" type="#_x0000_t202" style="position:absolute;left:0;text-align:left;margin-left:178.6pt;margin-top:0;width:229.8pt;height:284.5pt;z-index:25168179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" fillcolor="window" stroked="f" strokeweight=".5pt">
                <v:path arrowok="t"/>
                <v:textbox inset="0,0,0,0">
                  <w:txbxContent>
                    <w:p w14:paraId="3B56201A" w14:textId="77777777" w:rsidR="003C72FA" w:rsidRDefault="003C72FA" w:rsidP="00C71F95">
                      <w:pPr>
                        <w:ind w:firstLine="0"/>
                      </w:pPr>
                      <w:r>
                        <w:rPr>
                          <w:noProof/>
                          <w:lang w:val="en-US"/>
                        </w:rPr>
                        <w:drawing>
                          <wp:inline distT="0" distB="0" distL="0" distR="0" wp14:anchorId="10B953B9" wp14:editId="30CD90FD">
                            <wp:extent cx="2794111" cy="292608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4111" cy="2926080"/>
                                    </a:xfrm>
                                    <a:prstGeom prst="rect">
                                      <a:avLst/>
                                    </a:prstGeom>
                                    <a:noFill/>
                                    <a:ln>
                                      <a:noFill/>
                                    </a:ln>
                                  </pic:spPr>
                                </pic:pic>
                              </a:graphicData>
                            </a:graphic>
                          </wp:inline>
                        </w:drawing>
                      </w:r>
                      <w:r w:rsidRPr="003156AC">
                        <w:rPr>
                          <w:noProof/>
                        </w:rPr>
                        <w:t xml:space="preserve"> </w:t>
                      </w:r>
                    </w:p>
                    <w:p w14:paraId="721A5FA8" w14:textId="77777777" w:rsidR="003C72FA" w:rsidRDefault="003C72FA" w:rsidP="00C71F95">
                      <w:pPr>
                        <w:pStyle w:val="FigureCaption"/>
                      </w:pPr>
                      <w:r>
                        <w:t xml:space="preserve">Figure 5: </w:t>
                      </w:r>
                      <w:r w:rsidRPr="00EB4AC1">
                        <w:t xml:space="preserve">Styling a chart. The Column Chart style takes two parameters which are propagated to the drawn Box. The detail </w:t>
                      </w:r>
                      <w:proofErr w:type="spellStart"/>
                      <w:r w:rsidRPr="00EB4AC1">
                        <w:t>belows</w:t>
                      </w:r>
                      <w:proofErr w:type="spellEnd"/>
                      <w:r w:rsidRPr="00EB4AC1">
                        <w:t xml:space="preserve"> shows the columns bound to the parameters: Index in blue, Value in gray. The regions can be dragged to bind more values to the style.</w:t>
                      </w:r>
                    </w:p>
                    <w:p w14:paraId="78D4A48B" w14:textId="77777777" w:rsidR="003C72FA" w:rsidRDefault="003C72FA" w:rsidP="00C71F95"/>
                  </w:txbxContent>
                </v:textbox>
                <w10:wrap type="square" anchorx="margin" anchory="margin"/>
              </v:shape>
            </w:pict>
          </mc:Fallback>
        </mc:AlternateContent>
      </w:r>
      <w:r w:rsidR="002F639B">
        <w:t>A pair of</w:t>
      </w:r>
      <w:r w:rsidR="002F639B" w:rsidRPr="00D57D4C">
        <w:t xml:space="preserve"> </w:t>
      </w:r>
      <w:r w:rsidR="002F639B" w:rsidRPr="00D57D4C">
        <w:rPr>
          <w:i/>
        </w:rPr>
        <w:t>x</w:t>
      </w:r>
      <w:r w:rsidR="002F639B" w:rsidRPr="00D57D4C">
        <w:t xml:space="preserve"> and </w:t>
      </w:r>
      <w:r w:rsidR="002F639B" w:rsidRPr="00D57D4C">
        <w:rPr>
          <w:i/>
        </w:rPr>
        <w:t>y</w:t>
      </w:r>
      <w:r w:rsidR="002F639B">
        <w:t xml:space="preserve"> axes are</w:t>
      </w:r>
      <w:r w:rsidR="002F639B" w:rsidRPr="00D57D4C">
        <w:t xml:space="preserve"> included with a canvas. The default behavior of these axes is to automatically scale the objects in the visualization to lie between the minimum and maximum ranges of all the objects on the canvas. This behavior can be overridden to include a manually set minimum or maximum (or both) or the axes can be converted to logarithmic scales. In addition tick marks can be set to appear at automatic or manually set intervals.</w:t>
      </w:r>
      <w:r w:rsidR="00570A80">
        <w:t xml:space="preserve"> </w:t>
      </w:r>
      <w:r w:rsidR="00570A80" w:rsidRPr="00D57D4C">
        <w:t xml:space="preserve">The axes </w:t>
      </w:r>
      <w:r w:rsidR="00570A80">
        <w:t xml:space="preserve">are also marks; they </w:t>
      </w:r>
      <w:r w:rsidR="00570A80" w:rsidRPr="00D57D4C">
        <w:t>default to automatic scaling, and fit all values on the chart</w:t>
      </w:r>
      <w:r w:rsidR="00570A80">
        <w:t xml:space="preserve">. The </w:t>
      </w:r>
      <w:r w:rsidR="00570A80" w:rsidRPr="00D57D4C">
        <w:t xml:space="preserve">user </w:t>
      </w:r>
      <w:r w:rsidR="00570A80">
        <w:t xml:space="preserve">can </w:t>
      </w:r>
      <w:r w:rsidR="00570A80" w:rsidRPr="00D57D4C">
        <w:t>override them by setting the appropriate fields.</w:t>
      </w:r>
    </w:p>
    <w:p w14:paraId="680915BB" w14:textId="7EEF87DB" w:rsidR="002F639B" w:rsidRPr="00D57D4C" w:rsidRDefault="002F639B" w:rsidP="009A5354">
      <w:pPr>
        <w:pStyle w:val="BodyTextIndent0"/>
      </w:pPr>
      <w:r w:rsidRPr="00D57D4C">
        <w:t xml:space="preserve">For many visual styles, some attributes of the drawing need to be specified in absolute (screen) coordinates and others need to </w:t>
      </w:r>
      <w:r w:rsidRPr="00D57D4C">
        <w:lastRenderedPageBreak/>
        <w:t>be scaled by an axis. For example, a Y axis on a bubble chart might be denominated in millions of dollars. The radius of a ci</w:t>
      </w:r>
      <w:r w:rsidRPr="00D57D4C">
        <w:t>r</w:t>
      </w:r>
      <w:r w:rsidRPr="00D57D4C">
        <w:t>cle drawn on that chart will not be counted in millions of dollars, however, but rather in screen pixels; the typeface will be 20 pi</w:t>
      </w:r>
      <w:r w:rsidRPr="00D57D4C">
        <w:t>x</w:t>
      </w:r>
      <w:r w:rsidRPr="00D57D4C">
        <w:t>els high (not 5 million).  Vis-à-vis allows a user to label whether a value should be in screen or axis coordinate space with a ‘lock’ icon (see figure 2).</w:t>
      </w:r>
      <w:r w:rsidR="0093027D">
        <w:t xml:space="preserve"> Beyond these convenience measures, of course, a user can also create a custom conversion to transform coordinates.</w:t>
      </w:r>
    </w:p>
    <w:p w14:paraId="680915BC" w14:textId="77777777" w:rsidR="002F639B" w:rsidRPr="00D57D4C" w:rsidRDefault="002F639B" w:rsidP="00C068E8">
      <w:pPr>
        <w:pStyle w:val="Heading3"/>
      </w:pPr>
      <w:r w:rsidRPr="00D57D4C">
        <w:t>Binding data to the object</w:t>
      </w:r>
    </w:p>
    <w:p w14:paraId="680915BD" w14:textId="77777777" w:rsidR="002F639B" w:rsidRPr="00D57D4C" w:rsidRDefault="002F639B" w:rsidP="008D1AC5">
      <w:pPr>
        <w:pStyle w:val="BodyTextNoIndent"/>
      </w:pPr>
      <w:r w:rsidRPr="00D57D4C">
        <w:t>An attribute in the visualization builder window can be bound to a value in the spreadsheet following familiar spreadsheet metaphors: the attribute acts just like a cell, and so can be assigned cell values or formulae. When the</w:t>
      </w:r>
      <w:r>
        <w:t xml:space="preserve"> value in a cell changes </w:t>
      </w:r>
      <w:r w:rsidRPr="00D57D4C">
        <w:t>the a</w:t>
      </w:r>
      <w:r>
        <w:t xml:space="preserve">ttribute automatically updates. </w:t>
      </w:r>
      <w:r w:rsidRPr="00D57D4C">
        <w:t>To create a column chart, we first create a</w:t>
      </w:r>
      <w:r>
        <w:t xml:space="preserve"> box shape to be our</w:t>
      </w:r>
      <w:r w:rsidRPr="00D57D4C">
        <w:t xml:space="preserve"> prototypical bar. This bar will be used as a visual style when we bind to multiple rows of data. This bar will </w:t>
      </w:r>
      <w:r>
        <w:t>initially be bound to</w:t>
      </w:r>
      <w:r w:rsidRPr="00D57D4C">
        <w:t xml:space="preserve"> row 2 of the spreadsheet</w:t>
      </w:r>
      <w:r>
        <w:t xml:space="preserve"> (figure 5 shows the data used in this example). </w:t>
      </w:r>
      <w:r w:rsidRPr="00D57D4C">
        <w:t xml:space="preserve">We bind the </w:t>
      </w:r>
      <w:r w:rsidRPr="00D57D4C">
        <w:rPr>
          <w:i/>
        </w:rPr>
        <w:t>X</w:t>
      </w:r>
      <w:r w:rsidRPr="00D57D4C">
        <w:t xml:space="preserve"> value of the bar to the </w:t>
      </w:r>
      <w:r w:rsidRPr="00D57D4C">
        <w:rPr>
          <w:i/>
        </w:rPr>
        <w:t>index</w:t>
      </w:r>
      <w:r w:rsidRPr="00D57D4C">
        <w:t xml:space="preserve"> column, cell </w:t>
      </w:r>
      <w:r w:rsidRPr="00D57D4C">
        <w:rPr>
          <w:i/>
        </w:rPr>
        <w:t xml:space="preserve">A2, </w:t>
      </w:r>
      <w:r w:rsidRPr="00D57D4C">
        <w:t xml:space="preserve">and the height to the </w:t>
      </w:r>
      <w:r w:rsidRPr="00D57D4C">
        <w:rPr>
          <w:i/>
        </w:rPr>
        <w:t xml:space="preserve">value </w:t>
      </w:r>
      <w:r w:rsidRPr="00D57D4C">
        <w:t xml:space="preserve">column, </w:t>
      </w:r>
      <w:r w:rsidRPr="00D57D4C">
        <w:rPr>
          <w:i/>
        </w:rPr>
        <w:t>B2</w:t>
      </w:r>
      <w:r w:rsidRPr="00D57D4C">
        <w:t>. Figure 4 shows a single bar with two variable values.</w:t>
      </w:r>
    </w:p>
    <w:p w14:paraId="680915BE" w14:textId="77777777" w:rsidR="002F639B" w:rsidRPr="00D57D4C" w:rsidRDefault="002F639B" w:rsidP="008D1AC5">
      <w:pPr>
        <w:pStyle w:val="Heading3"/>
      </w:pPr>
      <w:r w:rsidRPr="00D57D4C">
        <w:t>Defining a visual style</w:t>
      </w:r>
    </w:p>
    <w:p w14:paraId="680915BF" w14:textId="77777777" w:rsidR="002F639B" w:rsidRPr="00D57D4C" w:rsidRDefault="002F639B" w:rsidP="000D74F4">
      <w:pPr>
        <w:pStyle w:val="BodyTextNoIndent"/>
      </w:pPr>
      <w:r w:rsidRPr="00D57D4C">
        <w:t xml:space="preserve">Once an object’s fields have been assigned to values, the fields can be preserved as a style. Having constructed a first column for a bar chart—fixed width, height relative to a column, x location based on index—we can then store a style, named </w:t>
      </w:r>
      <w:r w:rsidRPr="00D57D4C">
        <w:rPr>
          <w:i/>
        </w:rPr>
        <w:t>BarChartStyle</w:t>
      </w:r>
      <w:r>
        <w:rPr>
          <w:i/>
        </w:rPr>
        <w:t>,</w:t>
      </w:r>
      <w:r w:rsidRPr="00D57D4C">
        <w:t xml:space="preserve"> taking parameters </w:t>
      </w:r>
      <w:r w:rsidRPr="00D57D4C">
        <w:rPr>
          <w:i/>
        </w:rPr>
        <w:t>index</w:t>
      </w:r>
      <w:r w:rsidRPr="00D57D4C">
        <w:t xml:space="preserve"> and </w:t>
      </w:r>
      <w:r w:rsidRPr="00D57D4C">
        <w:rPr>
          <w:i/>
        </w:rPr>
        <w:t>value</w:t>
      </w:r>
      <w:r w:rsidRPr="00D57D4C">
        <w:t xml:space="preserve">. </w:t>
      </w:r>
    </w:p>
    <w:p w14:paraId="680915C0" w14:textId="259FE0BA" w:rsidR="002F639B" w:rsidRPr="00D57D4C" w:rsidRDefault="0055390F" w:rsidP="009A5354">
      <w:pPr>
        <w:pStyle w:val="BodyTextIndent0"/>
      </w:pPr>
      <w:r w:rsidRPr="00D57D4C">
        <w:t xml:space="preserve">In our example, we want to replicate this single bar for each row in the chart.  A dialog allows us to define a new visual style, which assigns each variable to a parameter. In this example, both A2 and B2 are variables; we can assign them to parameter </w:t>
      </w:r>
      <w:r w:rsidRPr="00D57D4C">
        <w:rPr>
          <w:i/>
        </w:rPr>
        <w:t>Index</w:t>
      </w:r>
      <w:r w:rsidRPr="00D57D4C">
        <w:t xml:space="preserve"> and </w:t>
      </w:r>
      <w:r w:rsidRPr="00D57D4C">
        <w:rPr>
          <w:i/>
        </w:rPr>
        <w:t>Value</w:t>
      </w:r>
      <w:r w:rsidRPr="00D57D4C">
        <w:t>. In Figure 5, we create a chart style.</w:t>
      </w:r>
      <w:r w:rsidR="00C71F95" w:rsidRPr="00C71F95">
        <w:rPr>
          <w:noProof/>
        </w:rPr>
        <w:t xml:space="preserve"> </w:t>
      </w:r>
    </w:p>
    <w:p w14:paraId="680915C1" w14:textId="77777777" w:rsidR="002F639B" w:rsidRPr="00D57D4C" w:rsidRDefault="002F639B" w:rsidP="00C068E8">
      <w:pPr>
        <w:pStyle w:val="Heading3"/>
      </w:pPr>
      <w:r w:rsidRPr="00D57D4C">
        <w:t>Completing the Column Chart</w:t>
      </w:r>
    </w:p>
    <w:p w14:paraId="680915C2" w14:textId="3B375620" w:rsidR="002F639B" w:rsidRDefault="002F639B" w:rsidP="0078682F">
      <w:pPr>
        <w:pStyle w:val="BodyTextNoIndent"/>
        <w:keepNext/>
      </w:pPr>
      <w:r w:rsidRPr="00D57D4C">
        <w:t xml:space="preserve">Once a visual style—in this case, the </w:t>
      </w:r>
      <w:r w:rsidRPr="00D57D4C">
        <w:rPr>
          <w:i/>
        </w:rPr>
        <w:t>Column Chart</w:t>
      </w:r>
      <w:r w:rsidRPr="00D57D4C">
        <w:t xml:space="preserve"> </w:t>
      </w:r>
      <w:r w:rsidRPr="00D57D4C">
        <w:rPr>
          <w:i/>
        </w:rPr>
        <w:t xml:space="preserve">(index, </w:t>
      </w:r>
      <w:r w:rsidR="000C0DFD">
        <w:rPr>
          <w:noProof/>
          <w:lang w:val="en-US"/>
        </w:rPr>
        <w:lastRenderedPageBreak/>
        <mc:AlternateContent>
          <mc:Choice Requires="wps">
            <w:drawing>
              <wp:anchor distT="0" distB="0" distL="114300" distR="114300" simplePos="0" relativeHeight="251639808" behindDoc="0" locked="0" layoutInCell="1" allowOverlap="1" wp14:anchorId="68091676" wp14:editId="3EC9E0E8">
                <wp:simplePos x="903605" y="7694930"/>
                <wp:positionH relativeFrom="margin">
                  <wp:align>left</wp:align>
                </wp:positionH>
                <wp:positionV relativeFrom="margin">
                  <wp:align>top</wp:align>
                </wp:positionV>
                <wp:extent cx="2918460" cy="1849755"/>
                <wp:effectExtent l="0" t="0" r="0" b="0"/>
                <wp:wrapSquare wrapText="bothSides"/>
                <wp:docPr id="6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1849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916CB" w14:textId="77777777" w:rsidR="003C72FA" w:rsidRDefault="003C72FA" w:rsidP="002F639B">
                            <w:r>
                              <w:rPr>
                                <w:noProof/>
                                <w:lang w:val="en-US"/>
                              </w:rPr>
                              <w:drawing>
                                <wp:inline distT="0" distB="0" distL="0" distR="0" wp14:anchorId="680916E0" wp14:editId="680916E1">
                                  <wp:extent cx="2387600" cy="13144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87600" cy="1314450"/>
                                          </a:xfrm>
                                          <a:prstGeom prst="rect">
                                            <a:avLst/>
                                          </a:prstGeom>
                                          <a:noFill/>
                                          <a:ln>
                                            <a:noFill/>
                                          </a:ln>
                                        </pic:spPr>
                                      </pic:pic>
                                    </a:graphicData>
                                  </a:graphic>
                                </wp:inline>
                              </w:drawing>
                            </w:r>
                          </w:p>
                          <w:p w14:paraId="680916CC" w14:textId="77777777" w:rsidR="003C72FA" w:rsidRDefault="003C72FA" w:rsidP="002F639B">
                            <w:pPr>
                              <w:pStyle w:val="FigureCaption"/>
                            </w:pPr>
                            <w:r w:rsidRPr="00D57D4C">
                              <w:t xml:space="preserve">Figure 6: Completed bar chart. The visual style has been applied to all cells in the block A2:A21, B2:B21. </w:t>
                            </w:r>
                          </w:p>
                          <w:p w14:paraId="680916CD" w14:textId="77777777" w:rsidR="003C72FA" w:rsidRDefault="003C72FA" w:rsidP="002F63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30" type="#_x0000_t202" style="position:absolute;left:0;text-align:left;margin-left:0;margin-top:0;width:229.8pt;height:145.65pt;z-index:251639808;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" stroked="f">
                <v:textbox>
                  <w:txbxContent>
                    <w:p w14:paraId="680916CB" w14:textId="77777777" w:rsidR="003C72FA" w:rsidRDefault="003C72FA" w:rsidP="002F639B">
                      <w:r>
                        <w:rPr>
                          <w:noProof/>
                          <w:lang w:val="en-US"/>
                        </w:rPr>
                        <w:drawing>
                          <wp:inline distT="0" distB="0" distL="0" distR="0" wp14:anchorId="680916E0" wp14:editId="680916E1">
                            <wp:extent cx="2387600" cy="13144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7600" cy="1314450"/>
                                    </a:xfrm>
                                    <a:prstGeom prst="rect">
                                      <a:avLst/>
                                    </a:prstGeom>
                                    <a:noFill/>
                                    <a:ln>
                                      <a:noFill/>
                                    </a:ln>
                                  </pic:spPr>
                                </pic:pic>
                              </a:graphicData>
                            </a:graphic>
                          </wp:inline>
                        </w:drawing>
                      </w:r>
                    </w:p>
                    <w:p w14:paraId="680916CC" w14:textId="77777777" w:rsidR="003C72FA" w:rsidRDefault="003C72FA" w:rsidP="002F639B">
                      <w:pPr>
                        <w:pStyle w:val="FigureCaption"/>
                      </w:pPr>
                      <w:r w:rsidRPr="00D57D4C">
                        <w:t xml:space="preserve">Figure 6: Completed bar chart. The visual style has been applied to all cells in the block A2:A21, B2:B21. </w:t>
                      </w:r>
                    </w:p>
                    <w:p w14:paraId="680916CD" w14:textId="77777777" w:rsidR="003C72FA" w:rsidRDefault="003C72FA" w:rsidP="002F639B"/>
                  </w:txbxContent>
                </v:textbox>
                <w10:wrap type="square" anchorx="margin" anchory="margin"/>
              </v:shape>
            </w:pict>
          </mc:Fallback>
        </mc:AlternateContent>
      </w:r>
      <w:r w:rsidR="000C0DFD">
        <w:rPr>
          <w:noProof/>
          <w:lang w:val="en-US"/>
        </w:rPr>
        <mc:AlternateContent>
          <mc:Choice Requires="wps">
            <w:drawing>
              <wp:anchor distT="0" distB="0" distL="114300" distR="114300" simplePos="0" relativeHeight="251670528" behindDoc="0" locked="0" layoutInCell="1" allowOverlap="1" wp14:anchorId="1E0FBB03" wp14:editId="17EDADE8">
                <wp:simplePos x="4181475" y="4314825"/>
                <wp:positionH relativeFrom="margin">
                  <wp:align>right</wp:align>
                </wp:positionH>
                <wp:positionV relativeFrom="margin">
                  <wp:align>top</wp:align>
                </wp:positionV>
                <wp:extent cx="3148965" cy="2095500"/>
                <wp:effectExtent l="0" t="0" r="0" b="0"/>
                <wp:wrapSquare wrapText="bothSides"/>
                <wp:docPr id="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20960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A9B6E" w14:textId="77777777" w:rsidR="003C72FA" w:rsidRDefault="003C72FA" w:rsidP="00432D84">
                            <w:r>
                              <w:rPr>
                                <w:noProof/>
                                <w:lang w:val="en-US"/>
                              </w:rPr>
                              <w:drawing>
                                <wp:inline distT="0" distB="0" distL="0" distR="0" wp14:anchorId="402C923F" wp14:editId="08F358C7">
                                  <wp:extent cx="2959100" cy="1644650"/>
                                  <wp:effectExtent l="0" t="0" r="1270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9100" cy="1644650"/>
                                          </a:xfrm>
                                          <a:prstGeom prst="rect">
                                            <a:avLst/>
                                          </a:prstGeom>
                                          <a:noFill/>
                                          <a:ln>
                                            <a:noFill/>
                                          </a:ln>
                                        </pic:spPr>
                                      </pic:pic>
                                    </a:graphicData>
                                  </a:graphic>
                                </wp:inline>
                              </w:drawing>
                            </w:r>
                          </w:p>
                          <w:p w14:paraId="18A9ABB2" w14:textId="77777777" w:rsidR="003C72FA" w:rsidRPr="00944A3E" w:rsidRDefault="003C72FA" w:rsidP="00432D84">
                            <w:pPr>
                              <w:pStyle w:val="FigureCaption"/>
                              <w:rPr>
                                <w:b/>
                              </w:rPr>
                            </w:pPr>
                            <w:r w:rsidRPr="00D57D4C">
                              <w:rPr>
                                <w:b/>
                              </w:rPr>
                              <w:t xml:space="preserve">Figure 7: </w:t>
                            </w:r>
                            <w:r w:rsidRPr="00D57D4C">
                              <w:t>The completed waterfall chart. The style has been u</w:t>
                            </w:r>
                            <w:r w:rsidRPr="00D57D4C">
                              <w:t>p</w:t>
                            </w:r>
                            <w:r w:rsidRPr="00D57D4C">
                              <w:t>dated and renamed to Waterfall.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31" type="#_x0000_t202" style="position:absolute;left:0;text-align:left;margin-left:196.75pt;margin-top:0;width:247.95pt;height:165pt;z-index:25167052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" stroked="f">
                <v:textbox>
                  <w:txbxContent>
                    <w:p w14:paraId="367A9B6E" w14:textId="77777777" w:rsidR="003C72FA" w:rsidRDefault="003C72FA" w:rsidP="00432D84">
                      <w:r>
                        <w:rPr>
                          <w:noProof/>
                          <w:lang w:val="en-US"/>
                        </w:rPr>
                        <w:drawing>
                          <wp:inline distT="0" distB="0" distL="0" distR="0" wp14:anchorId="402C923F" wp14:editId="08F358C7">
                            <wp:extent cx="2959100" cy="1644650"/>
                            <wp:effectExtent l="0" t="0" r="1270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9100" cy="1644650"/>
                                    </a:xfrm>
                                    <a:prstGeom prst="rect">
                                      <a:avLst/>
                                    </a:prstGeom>
                                    <a:noFill/>
                                    <a:ln>
                                      <a:noFill/>
                                    </a:ln>
                                  </pic:spPr>
                                </pic:pic>
                              </a:graphicData>
                            </a:graphic>
                          </wp:inline>
                        </w:drawing>
                      </w:r>
                    </w:p>
                    <w:p w14:paraId="18A9ABB2" w14:textId="77777777" w:rsidR="003C72FA" w:rsidRPr="00944A3E" w:rsidRDefault="003C72FA" w:rsidP="00432D84">
                      <w:pPr>
                        <w:pStyle w:val="FigureCaption"/>
                        <w:rPr>
                          <w:b/>
                        </w:rPr>
                      </w:pPr>
                      <w:r w:rsidRPr="00D57D4C">
                        <w:rPr>
                          <w:b/>
                        </w:rPr>
                        <w:t xml:space="preserve">Figure 7: </w:t>
                      </w:r>
                      <w:r w:rsidRPr="00D57D4C">
                        <w:t>The completed waterfall chart. The style has been u</w:t>
                      </w:r>
                      <w:r w:rsidRPr="00D57D4C">
                        <w:t>p</w:t>
                      </w:r>
                      <w:r w:rsidRPr="00D57D4C">
                        <w:t>dated and renamed to Waterfall.</w:t>
                      </w:r>
                    </w:p>
                  </w:txbxContent>
                </v:textbox>
                <w10:wrap type="square" anchorx="margin" anchory="margin"/>
              </v:shape>
            </w:pict>
          </mc:Fallback>
        </mc:AlternateContent>
      </w:r>
      <w:r w:rsidRPr="00D57D4C">
        <w:rPr>
          <w:i/>
        </w:rPr>
        <w:t>value)</w:t>
      </w:r>
      <w:r w:rsidRPr="00D57D4C">
        <w:t xml:space="preserve">—is created, it can be extended down its columns to get a complete chart. Figure 6 extends the style from Figure 5 all the way down the column, applying it to all cells from A2:A21 and B2:B21. This </w:t>
      </w:r>
      <w:r>
        <w:t xml:space="preserve">causes a copy of our prototypical bar to be created for each row of data and has the effect of copying </w:t>
      </w:r>
      <w:r w:rsidRPr="00D57D4C">
        <w:t>the bar across to create a bar chart.</w:t>
      </w:r>
      <w:r>
        <w:t xml:space="preserve"> Alternatively, the user could have selected the desired columns and chosen from the Apply menu to apply the designated style. Note that as the visual style is applied to each element in the selection, the formulas that are used in the style are updated based on the relative referencing rules discussed in section 3.3.1.</w:t>
      </w:r>
    </w:p>
    <w:p w14:paraId="680915C3" w14:textId="77777777" w:rsidR="002F639B" w:rsidRPr="00D57D4C" w:rsidRDefault="002F639B" w:rsidP="008D1AC5">
      <w:pPr>
        <w:pStyle w:val="Heading3"/>
      </w:pPr>
      <w:r w:rsidRPr="00D57D4C">
        <w:t>Waterfall Chart</w:t>
      </w:r>
    </w:p>
    <w:p w14:paraId="6516CE75" w14:textId="2C65184B" w:rsidR="005A6D97" w:rsidRDefault="002F639B" w:rsidP="000D74F4">
      <w:pPr>
        <w:pStyle w:val="BodyTextNoIndent"/>
      </w:pPr>
      <w:r w:rsidRPr="00D57D4C">
        <w:t xml:space="preserve">So far, we have shown only how to reproduce a very common visualization, found in almost all packages. We demonstrate the flexibility of the Vis-à-vis toolkit by creating a less common visualization, the waterfall chart. A waterfall chart is a business visualization used to track cumulative profits and losses. </w:t>
      </w:r>
      <w:r w:rsidR="005A6D97">
        <w:t>(We demonstrate other less common techniques in figures 8 and 9)</w:t>
      </w:r>
      <w:r w:rsidR="00FB5AA7">
        <w:t>.</w:t>
      </w:r>
      <w:r w:rsidR="005A6D97">
        <w:t xml:space="preserve"> </w:t>
      </w:r>
    </w:p>
    <w:p w14:paraId="4E59EFBB" w14:textId="77777777" w:rsidR="0002014D" w:rsidRDefault="002F639B" w:rsidP="009A5354">
      <w:pPr>
        <w:pStyle w:val="BodyTextIndent0"/>
      </w:pPr>
      <w:r w:rsidRPr="00D57D4C">
        <w:t xml:space="preserve">Waterfall charts are a simple variation on column charts, but have two important differences. First, each bar grows or shrinks from the top of the previous bar to show a running total; second, each bar is colored based on its height: positive bars are green, negative are red. </w:t>
      </w:r>
      <w:r w:rsidR="0002014D">
        <w:t>Waterfall charts can be difficult to produce in many visualization packages, as they require a cumulative sum; they thus highlight one particular virtue of using a spreadsheet metaphor.</w:t>
      </w:r>
    </w:p>
    <w:p w14:paraId="680915C4" w14:textId="07D9C591" w:rsidR="002F639B" w:rsidRPr="00D57D4C" w:rsidRDefault="002F639B" w:rsidP="009A5354">
      <w:pPr>
        <w:pStyle w:val="BodyTextIndent0"/>
      </w:pPr>
      <w:r w:rsidRPr="00D57D4C">
        <w:t>When a user sets a bar to a specific color, a “Fill” field is ad</w:t>
      </w:r>
      <w:r w:rsidRPr="00D57D4C">
        <w:t>d</w:t>
      </w:r>
      <w:r w:rsidRPr="00D57D4C">
        <w:t xml:space="preserve">ed to the visualization builder. Vis-à-vis interprets both RGB triplets and strings as colors, and so users can assign a fill color to be the result of a formula. In the running example, “Fill” is set to the formula </w:t>
      </w:r>
      <w:r w:rsidRPr="009D3DB8">
        <w:rPr>
          <w:rFonts w:ascii="Courier New" w:hAnsi="Courier New" w:cs="Courier New"/>
        </w:rPr>
        <w:t>=</w:t>
      </w:r>
      <w:proofErr w:type="gramStart"/>
      <w:r w:rsidRPr="009D3DB8">
        <w:rPr>
          <w:rFonts w:ascii="Courier New" w:hAnsi="Courier New" w:cs="Courier New"/>
        </w:rPr>
        <w:t>IF(</w:t>
      </w:r>
      <w:proofErr w:type="gramEnd"/>
      <w:r w:rsidRPr="009D3DB8">
        <w:rPr>
          <w:rFonts w:ascii="Courier New" w:hAnsi="Courier New" w:cs="Courier New"/>
        </w:rPr>
        <w:t>B2&gt;0, “green”, “red”)</w:t>
      </w:r>
      <w:r w:rsidRPr="00D57D4C">
        <w:t>.</w:t>
      </w:r>
    </w:p>
    <w:p w14:paraId="680915C5" w14:textId="6C557893" w:rsidR="002F639B" w:rsidRPr="00D57D4C" w:rsidRDefault="002F639B" w:rsidP="009A5354">
      <w:pPr>
        <w:pStyle w:val="BodyTextIndent0"/>
      </w:pPr>
      <w:r w:rsidRPr="00D57D4C">
        <w:t>If each bar is to be a running tot</w:t>
      </w:r>
      <w:r w:rsidR="00796DDF">
        <w:t xml:space="preserve">al—that is, is to grow from the </w:t>
      </w:r>
      <w:r w:rsidRPr="00D57D4C">
        <w:t>column before it—then the baseline of each bar must be at the cumulative total so far. We express this by selecting a bar, and assigning its Y (that is, base) value to a running sum. In this e</w:t>
      </w:r>
      <w:r w:rsidRPr="00D57D4C">
        <w:t>x</w:t>
      </w:r>
      <w:r w:rsidRPr="00D57D4C">
        <w:t>ample, we are editing the bar that corresponds to row 9, and so we assign its Y value to =</w:t>
      </w:r>
      <w:proofErr w:type="gramStart"/>
      <w:r w:rsidRPr="00D57D4C">
        <w:t>SUM(</w:t>
      </w:r>
      <w:proofErr w:type="gramEnd"/>
      <w:r w:rsidRPr="00D57D4C">
        <w:t>B$2:B8). B2 will be treated as an absolute value, while B8 will be treated as a relative one.</w:t>
      </w:r>
    </w:p>
    <w:p w14:paraId="680915C6" w14:textId="79721374" w:rsidR="002F639B" w:rsidRDefault="002F639B" w:rsidP="009A5354">
      <w:pPr>
        <w:pStyle w:val="BodyTextIndent0"/>
      </w:pPr>
      <w:r w:rsidRPr="00D57D4C">
        <w:t>Last, we update the visual style to match, allowing the chart to update. The completed chart is a waterfall chart, shown in Figure 7. This uses the same data as Figures 5 and 6.</w:t>
      </w:r>
      <w:r>
        <w:t xml:space="preserve"> </w:t>
      </w:r>
    </w:p>
    <w:p w14:paraId="680915C7" w14:textId="77777777" w:rsidR="002F639B" w:rsidRPr="00D57D4C" w:rsidRDefault="002F639B" w:rsidP="009A5354">
      <w:pPr>
        <w:pStyle w:val="BodyTextIndent0"/>
      </w:pPr>
      <w:r>
        <w:t>Many waterfall charts use special colors for the initial and final bars. If we wish to add that to the style, we would simply change the Fill’s formula to include a nested =IF statement; first to see if the shape is the first or last row of the selection and color them appropriately, and subsequently use the existing =IF clause.</w:t>
      </w:r>
    </w:p>
    <w:p w14:paraId="680915C9" w14:textId="5FAAC150" w:rsidR="002F639B" w:rsidRDefault="002F639B" w:rsidP="009D3DB8">
      <w:pPr>
        <w:pStyle w:val="BodyTextNoIndent"/>
      </w:pPr>
      <w:r>
        <w:t xml:space="preserve"> </w:t>
      </w:r>
    </w:p>
    <w:p w14:paraId="681C14FF" w14:textId="556D067F" w:rsidR="000820AD" w:rsidRDefault="000820AD" w:rsidP="000820AD">
      <w:pPr>
        <w:pStyle w:val="Heading2"/>
      </w:pPr>
      <w:r>
        <w:t>Extending Spreadsheet Formulae</w:t>
      </w:r>
    </w:p>
    <w:p w14:paraId="4E1D3992" w14:textId="7D5CC9A2" w:rsidR="00122223" w:rsidRDefault="000820AD" w:rsidP="006D5CB7">
      <w:pPr>
        <w:pStyle w:val="BodyTextNoIndent"/>
      </w:pPr>
      <w:r>
        <w:t xml:space="preserve">It was </w:t>
      </w:r>
      <w:r w:rsidR="00085659">
        <w:t xml:space="preserve">our </w:t>
      </w:r>
      <w:r>
        <w:t xml:space="preserve">goal to leverage existing spreadsheet concepts as much as possible when designing </w:t>
      </w:r>
      <w:r w:rsidR="006D5CB7">
        <w:t>V</w:t>
      </w:r>
      <w:r>
        <w:t xml:space="preserve">is-à-vis. There are, however a number of small extensions that are helpful in making visual styles generalizable and sharable. Many of these involve more generalized ways of referencing the selection range to which a visual style has been applied. Table </w:t>
      </w:r>
      <w:r w:rsidR="000E6732">
        <w:t>2</w:t>
      </w:r>
      <w:r>
        <w:t xml:space="preserve"> shows </w:t>
      </w:r>
      <w:r w:rsidR="00525389">
        <w:t xml:space="preserve">the </w:t>
      </w:r>
      <w:r>
        <w:t>additional functions.</w:t>
      </w:r>
      <w:r w:rsidR="00122223">
        <w:t xml:space="preserve"> In general, all of these selections are relative to the current bindings.</w:t>
      </w:r>
    </w:p>
    <w:p w14:paraId="444FA378" w14:textId="0266A7A5" w:rsidR="00886919" w:rsidRDefault="00525389" w:rsidP="009A5354">
      <w:pPr>
        <w:pStyle w:val="BodyTextIndent0"/>
      </w:pPr>
      <w:r>
        <w:br/>
      </w:r>
      <w:r w:rsidR="00886919" w:rsidRPr="00886919">
        <w:rPr>
          <w:b/>
        </w:rPr>
        <w:t xml:space="preserve">Table </w:t>
      </w:r>
      <w:r w:rsidR="000E6732">
        <w:rPr>
          <w:b/>
        </w:rPr>
        <w:t>2</w:t>
      </w:r>
      <w:r w:rsidR="00886919">
        <w:t xml:space="preserve">:  </w:t>
      </w:r>
      <w:r w:rsidR="00005030">
        <w:t>A</w:t>
      </w:r>
      <w:r w:rsidR="00886919">
        <w:t xml:space="preserve">dditional formulas added to the spreadsheet system </w:t>
      </w:r>
    </w:p>
    <w:tbl>
      <w:tblPr>
        <w:tblStyle w:val="LightShading"/>
        <w:tblW w:w="4977" w:type="dxa"/>
        <w:tblBorders>
          <w:insideH w:val="dotted" w:sz="4" w:space="0" w:color="auto"/>
        </w:tblBorders>
        <w:tblLayout w:type="fixed"/>
        <w:tblLook w:val="0680" w:firstRow="0" w:lastRow="0" w:firstColumn="1" w:lastColumn="0" w:noHBand="1" w:noVBand="1"/>
      </w:tblPr>
      <w:tblGrid>
        <w:gridCol w:w="1411"/>
        <w:gridCol w:w="3566"/>
      </w:tblGrid>
      <w:tr w:rsidR="000820AD" w14:paraId="27244061" w14:textId="77777777" w:rsidTr="008221DD">
        <w:trPr>
          <w:trHeight w:val="844"/>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4FDDF61F" w14:textId="192A5D3B" w:rsidR="000820AD" w:rsidRPr="009D3DB8" w:rsidRDefault="00C0502C" w:rsidP="00031A82">
            <w:pPr>
              <w:pStyle w:val="BodyTextNoIndent"/>
              <w:jc w:val="left"/>
              <w:rPr>
                <w:rFonts w:ascii="Courier New" w:hAnsi="Courier New" w:cs="Courier New"/>
              </w:rPr>
            </w:pPr>
            <w:r>
              <w:rPr>
                <w:rFonts w:ascii="Courier New" w:hAnsi="Courier New" w:cs="Courier New"/>
              </w:rPr>
              <w:t>rowIndex</w:t>
            </w:r>
          </w:p>
        </w:tc>
        <w:tc>
          <w:tcPr>
            <w:tcW w:w="3566" w:type="dxa"/>
            <w:vAlign w:val="center"/>
          </w:tcPr>
          <w:p w14:paraId="1137DCF4" w14:textId="0673F986" w:rsidR="000820AD" w:rsidRDefault="000820AD" w:rsidP="00FA33A8">
            <w:pPr>
              <w:pStyle w:val="BodyTextNoIndent"/>
              <w:jc w:val="left"/>
              <w:cnfStyle w:val="000000000000" w:firstRow="0" w:lastRow="0" w:firstColumn="0" w:lastColumn="0" w:oddVBand="0" w:evenVBand="0" w:oddHBand="0" w:evenHBand="0" w:firstRowFirstColumn="0" w:firstRowLastColumn="0" w:lastRowFirstColumn="0" w:lastRowLastColumn="0"/>
            </w:pPr>
            <w:r>
              <w:t xml:space="preserve">0-based relative index of the row. This a common helper function </w:t>
            </w:r>
            <w:r w:rsidR="005D241B">
              <w:t xml:space="preserve">obviates the need for </w:t>
            </w:r>
            <w:r>
              <w:t xml:space="preserve">a column of values </w:t>
            </w:r>
            <w:r w:rsidR="005D241B">
              <w:t xml:space="preserve">kept soley as an </w:t>
            </w:r>
            <w:r w:rsidR="00FA33A8">
              <w:t xml:space="preserve">index </w:t>
            </w:r>
            <w:r w:rsidR="005D241B">
              <w:t>(such as “day” in Figure 5)</w:t>
            </w:r>
          </w:p>
        </w:tc>
      </w:tr>
      <w:tr w:rsidR="000820AD" w14:paraId="3BE39830" w14:textId="77777777" w:rsidTr="008221DD">
        <w:trPr>
          <w:trHeight w:val="645"/>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34C68482" w14:textId="65FFE790" w:rsidR="000820AD" w:rsidRPr="009D3DB8" w:rsidRDefault="00C0502C" w:rsidP="00031A82">
            <w:pPr>
              <w:pStyle w:val="BodyTextNoIndent"/>
              <w:jc w:val="left"/>
              <w:rPr>
                <w:rFonts w:ascii="Courier New" w:hAnsi="Courier New" w:cs="Courier New"/>
              </w:rPr>
            </w:pPr>
            <w:r>
              <w:rPr>
                <w:rFonts w:ascii="Courier New" w:hAnsi="Courier New" w:cs="Courier New"/>
              </w:rPr>
              <w:t>rowCount</w:t>
            </w:r>
          </w:p>
        </w:tc>
        <w:tc>
          <w:tcPr>
            <w:tcW w:w="3566" w:type="dxa"/>
            <w:vAlign w:val="center"/>
          </w:tcPr>
          <w:p w14:paraId="3ED63CB4" w14:textId="50591AEF" w:rsidR="000820AD" w:rsidRDefault="007F492B" w:rsidP="00283CF2">
            <w:pPr>
              <w:pStyle w:val="BodyTextNoIndent"/>
              <w:jc w:val="left"/>
              <w:cnfStyle w:val="000000000000" w:firstRow="0" w:lastRow="0" w:firstColumn="0" w:lastColumn="0" w:oddVBand="0" w:evenVBand="0" w:oddHBand="0" w:evenHBand="0" w:firstRowFirstColumn="0" w:firstRowLastColumn="0" w:lastRowFirstColumn="0" w:lastRowLastColumn="0"/>
            </w:pPr>
            <w:r>
              <w:t>T</w:t>
            </w:r>
            <w:r w:rsidR="000820AD">
              <w:t xml:space="preserve">he number of rows in </w:t>
            </w:r>
            <w:r w:rsidR="00283CF2">
              <w:t>current context</w:t>
            </w:r>
            <w:r w:rsidR="000820AD">
              <w:t>. Of particular use in radial layouts where we want to equally distribute the rows around a circle.</w:t>
            </w:r>
          </w:p>
        </w:tc>
      </w:tr>
      <w:tr w:rsidR="000820AD" w14:paraId="21A0FCB2" w14:textId="77777777" w:rsidTr="008221DD">
        <w:trPr>
          <w:trHeight w:val="844"/>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25523844" w14:textId="43439E04" w:rsidR="000820AD" w:rsidRPr="009D3DB8" w:rsidRDefault="000820AD" w:rsidP="00031A82">
            <w:pPr>
              <w:pStyle w:val="BodyTextNoIndent"/>
              <w:jc w:val="left"/>
              <w:rPr>
                <w:rFonts w:ascii="Courier New" w:hAnsi="Courier New" w:cs="Courier New"/>
              </w:rPr>
            </w:pPr>
            <w:r w:rsidRPr="009D3DB8">
              <w:rPr>
                <w:rFonts w:ascii="Courier New" w:hAnsi="Courier New" w:cs="Courier New"/>
              </w:rPr>
              <w:t>seriesIndex</w:t>
            </w:r>
          </w:p>
        </w:tc>
        <w:tc>
          <w:tcPr>
            <w:tcW w:w="3566" w:type="dxa"/>
            <w:vAlign w:val="center"/>
          </w:tcPr>
          <w:p w14:paraId="5E453F79" w14:textId="06586C17" w:rsidR="000820AD" w:rsidRDefault="000C6072" w:rsidP="00B10E84">
            <w:pPr>
              <w:pStyle w:val="BodyTextNoIndent"/>
              <w:jc w:val="left"/>
              <w:cnfStyle w:val="000000000000" w:firstRow="0" w:lastRow="0" w:firstColumn="0" w:lastColumn="0" w:oddVBand="0" w:evenVBand="0" w:oddHBand="0" w:evenHBand="0" w:firstRowFirstColumn="0" w:firstRowLastColumn="0" w:lastRowFirstColumn="0" w:lastRowLastColumn="0"/>
            </w:pPr>
            <w:r>
              <w:t>T</w:t>
            </w:r>
            <w:r w:rsidR="000820AD">
              <w:t>he index of the series. Allows for application of a style to multiple columns of data without manually assigning a visual style to each column.</w:t>
            </w:r>
          </w:p>
        </w:tc>
      </w:tr>
      <w:tr w:rsidR="000820AD" w14:paraId="0275F67E" w14:textId="77777777" w:rsidTr="008221DD">
        <w:trPr>
          <w:trHeight w:val="214"/>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380AF62E" w14:textId="0E4D260B" w:rsidR="000820AD" w:rsidRPr="009D3DB8" w:rsidRDefault="00C0502C" w:rsidP="00031A82">
            <w:pPr>
              <w:pStyle w:val="BodyTextNoIndent"/>
              <w:jc w:val="left"/>
              <w:rPr>
                <w:rFonts w:ascii="Courier New" w:hAnsi="Courier New" w:cs="Courier New"/>
              </w:rPr>
            </w:pPr>
            <w:r>
              <w:rPr>
                <w:rFonts w:ascii="Courier New" w:hAnsi="Courier New" w:cs="Courier New"/>
              </w:rPr>
              <w:t>seriesCount</w:t>
            </w:r>
          </w:p>
        </w:tc>
        <w:tc>
          <w:tcPr>
            <w:tcW w:w="3566" w:type="dxa"/>
            <w:vAlign w:val="center"/>
          </w:tcPr>
          <w:p w14:paraId="1793216C" w14:textId="63F2ED57" w:rsidR="000820AD" w:rsidRDefault="000820AD" w:rsidP="00F50098">
            <w:pPr>
              <w:pStyle w:val="BodyTextNoIndent"/>
              <w:jc w:val="left"/>
              <w:cnfStyle w:val="000000000000" w:firstRow="0" w:lastRow="0" w:firstColumn="0" w:lastColumn="0" w:oddVBand="0" w:evenVBand="0" w:oddHBand="0" w:evenHBand="0" w:firstRowFirstColumn="0" w:firstRowLastColumn="0" w:lastRowFirstColumn="0" w:lastRowLastColumn="0"/>
            </w:pPr>
            <w:r>
              <w:t>The total number of series</w:t>
            </w:r>
            <w:r w:rsidR="00F50098">
              <w:t>.</w:t>
            </w:r>
          </w:p>
        </w:tc>
      </w:tr>
      <w:tr w:rsidR="000820AD" w14:paraId="4EE21ECB" w14:textId="77777777" w:rsidTr="008221DD">
        <w:trPr>
          <w:trHeight w:val="413"/>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027DF37A" w14:textId="4AAB3D39" w:rsidR="000820AD" w:rsidRPr="009D3DB8" w:rsidRDefault="00C0502C" w:rsidP="00031A82">
            <w:pPr>
              <w:pStyle w:val="BodyTextNoIndent"/>
              <w:jc w:val="left"/>
              <w:rPr>
                <w:rFonts w:ascii="Courier New" w:hAnsi="Courier New" w:cs="Courier New"/>
              </w:rPr>
            </w:pPr>
            <w:r>
              <w:rPr>
                <w:rFonts w:ascii="Courier New" w:hAnsi="Courier New" w:cs="Courier New"/>
              </w:rPr>
              <w:t>current-Column</w:t>
            </w:r>
          </w:p>
        </w:tc>
        <w:tc>
          <w:tcPr>
            <w:tcW w:w="3566" w:type="dxa"/>
            <w:vAlign w:val="center"/>
          </w:tcPr>
          <w:p w14:paraId="34F24F8A" w14:textId="0D89F102" w:rsidR="000820AD" w:rsidRDefault="000820AD" w:rsidP="002C3CDE">
            <w:pPr>
              <w:pStyle w:val="BodyTextNoIndent"/>
              <w:jc w:val="left"/>
              <w:cnfStyle w:val="000000000000" w:firstRow="0" w:lastRow="0" w:firstColumn="0" w:lastColumn="0" w:oddVBand="0" w:evenVBand="0" w:oddHBand="0" w:evenHBand="0" w:firstRowFirstColumn="0" w:firstRowLastColumn="0" w:lastRowFirstColumn="0" w:lastRowLastColumn="0"/>
            </w:pPr>
            <w:r>
              <w:t xml:space="preserve">Returns </w:t>
            </w:r>
            <w:r w:rsidR="002C3CDE">
              <w:t xml:space="preserve">the </w:t>
            </w:r>
            <w:r>
              <w:t xml:space="preserve">current full column of selection as a range </w:t>
            </w:r>
          </w:p>
        </w:tc>
      </w:tr>
      <w:tr w:rsidR="000820AD" w14:paraId="10EE255C" w14:textId="77777777" w:rsidTr="008221DD">
        <w:trPr>
          <w:trHeight w:val="413"/>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53C436C0" w14:textId="2E0EC9C8" w:rsidR="000820AD" w:rsidRPr="009D3DB8" w:rsidRDefault="000820AD" w:rsidP="00031A82">
            <w:pPr>
              <w:pStyle w:val="BodyTextNoIndent"/>
              <w:jc w:val="left"/>
              <w:rPr>
                <w:rFonts w:ascii="Courier New" w:hAnsi="Courier New" w:cs="Courier New"/>
              </w:rPr>
            </w:pPr>
            <w:r w:rsidRPr="009D3DB8">
              <w:rPr>
                <w:rFonts w:ascii="Courier New" w:hAnsi="Courier New" w:cs="Courier New"/>
              </w:rPr>
              <w:t>lastSeries</w:t>
            </w:r>
            <w:r w:rsidR="00C0502C">
              <w:rPr>
                <w:rFonts w:ascii="Courier New" w:hAnsi="Courier New" w:cs="Courier New"/>
              </w:rPr>
              <w:t>-</w:t>
            </w:r>
            <w:r w:rsidRPr="009D3DB8">
              <w:rPr>
                <w:rFonts w:ascii="Courier New" w:hAnsi="Courier New" w:cs="Courier New"/>
              </w:rPr>
              <w:t>Value</w:t>
            </w:r>
          </w:p>
        </w:tc>
        <w:tc>
          <w:tcPr>
            <w:tcW w:w="3566" w:type="dxa"/>
            <w:vAlign w:val="center"/>
          </w:tcPr>
          <w:p w14:paraId="297537E5" w14:textId="0C2DE1C0" w:rsidR="000820AD" w:rsidRDefault="000820AD" w:rsidP="00864E8B">
            <w:pPr>
              <w:pStyle w:val="BodyTextNoIndent"/>
              <w:jc w:val="left"/>
              <w:cnfStyle w:val="000000000000" w:firstRow="0" w:lastRow="0" w:firstColumn="0" w:lastColumn="0" w:oddVBand="0" w:evenVBand="0" w:oddHBand="0" w:evenHBand="0" w:firstRowFirstColumn="0" w:firstRowLastColumn="0" w:lastRowFirstColumn="0" w:lastRowLastColumn="0"/>
            </w:pPr>
            <w:r>
              <w:t xml:space="preserve">Returns the </w:t>
            </w:r>
            <w:r w:rsidR="00864E8B">
              <w:t xml:space="preserve">final </w:t>
            </w:r>
            <w:r>
              <w:t>series value</w:t>
            </w:r>
          </w:p>
        </w:tc>
      </w:tr>
      <w:tr w:rsidR="000820AD" w14:paraId="537367EE" w14:textId="77777777" w:rsidTr="008221DD">
        <w:trPr>
          <w:trHeight w:val="431"/>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1B1BF3BF" w14:textId="7B84649B" w:rsidR="000820AD" w:rsidRPr="009D3DB8" w:rsidRDefault="000820AD" w:rsidP="00031A82">
            <w:pPr>
              <w:pStyle w:val="BodyTextNoIndent"/>
              <w:jc w:val="left"/>
              <w:rPr>
                <w:rFonts w:ascii="Courier New" w:hAnsi="Courier New" w:cs="Courier New"/>
              </w:rPr>
            </w:pPr>
            <w:r w:rsidRPr="009D3DB8">
              <w:rPr>
                <w:rFonts w:ascii="Courier New" w:hAnsi="Courier New" w:cs="Courier New"/>
              </w:rPr>
              <w:t>lastSeries</w:t>
            </w:r>
            <w:r w:rsidR="00482F1F">
              <w:rPr>
                <w:rFonts w:ascii="Courier New" w:hAnsi="Courier New" w:cs="Courier New"/>
              </w:rPr>
              <w:t>-</w:t>
            </w:r>
            <w:r w:rsidRPr="009D3DB8">
              <w:rPr>
                <w:rFonts w:ascii="Courier New" w:hAnsi="Courier New" w:cs="Courier New"/>
              </w:rPr>
              <w:t>Column</w:t>
            </w:r>
          </w:p>
        </w:tc>
        <w:tc>
          <w:tcPr>
            <w:tcW w:w="3566" w:type="dxa"/>
            <w:vAlign w:val="center"/>
          </w:tcPr>
          <w:p w14:paraId="1A629824" w14:textId="5C720276" w:rsidR="000820AD" w:rsidRDefault="00221955" w:rsidP="00864E8B">
            <w:pPr>
              <w:pStyle w:val="BodyTextNoIndent"/>
              <w:jc w:val="left"/>
              <w:cnfStyle w:val="000000000000" w:firstRow="0" w:lastRow="0" w:firstColumn="0" w:lastColumn="0" w:oddVBand="0" w:evenVBand="0" w:oddHBand="0" w:evenHBand="0" w:firstRowFirstColumn="0" w:firstRowLastColumn="0" w:lastRowFirstColumn="0" w:lastRowLastColumn="0"/>
            </w:pPr>
            <w:r>
              <w:t xml:space="preserve">Returns the </w:t>
            </w:r>
            <w:r w:rsidR="00864E8B">
              <w:t xml:space="preserve">final </w:t>
            </w:r>
            <w:r>
              <w:t>series column</w:t>
            </w:r>
          </w:p>
        </w:tc>
      </w:tr>
      <w:tr w:rsidR="000820AD" w14:paraId="20687DA4" w14:textId="77777777" w:rsidTr="008221DD">
        <w:trPr>
          <w:trHeight w:val="431"/>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0D6700E9" w14:textId="43BF6488" w:rsidR="000820AD" w:rsidRPr="009D3DB8" w:rsidRDefault="000820AD" w:rsidP="00031A82">
            <w:pPr>
              <w:pStyle w:val="BodyTextNoIndent"/>
              <w:jc w:val="left"/>
              <w:rPr>
                <w:rFonts w:ascii="Courier New" w:hAnsi="Courier New" w:cs="Courier New"/>
              </w:rPr>
            </w:pPr>
            <w:r w:rsidRPr="009D3DB8">
              <w:rPr>
                <w:rFonts w:ascii="Courier New" w:hAnsi="Courier New" w:cs="Courier New"/>
              </w:rPr>
              <w:t>previous</w:t>
            </w:r>
          </w:p>
        </w:tc>
        <w:tc>
          <w:tcPr>
            <w:tcW w:w="3566" w:type="dxa"/>
            <w:vAlign w:val="center"/>
          </w:tcPr>
          <w:p w14:paraId="439AB041" w14:textId="77777777" w:rsidR="000820AD" w:rsidRDefault="000820AD" w:rsidP="00031A82">
            <w:pPr>
              <w:pStyle w:val="BodyTextNoIndent"/>
              <w:jc w:val="left"/>
              <w:cnfStyle w:val="000000000000" w:firstRow="0" w:lastRow="0" w:firstColumn="0" w:lastColumn="0" w:oddVBand="0" w:evenVBand="0" w:oddHBand="0" w:evenHBand="0" w:firstRowFirstColumn="0" w:firstRowLastColumn="0" w:lastRowFirstColumn="0" w:lastRowLastColumn="0"/>
            </w:pPr>
            <w:r>
              <w:t>Returns the previous cell relative to the current rowIndex.</w:t>
            </w:r>
          </w:p>
        </w:tc>
      </w:tr>
      <w:tr w:rsidR="000820AD" w14:paraId="0699764F" w14:textId="77777777" w:rsidTr="008221DD">
        <w:trPr>
          <w:trHeight w:val="413"/>
        </w:trPr>
        <w:tc>
          <w:tcPr>
            <w:cnfStyle w:val="001000000000" w:firstRow="0" w:lastRow="0" w:firstColumn="1" w:lastColumn="0" w:oddVBand="0" w:evenVBand="0" w:oddHBand="0" w:evenHBand="0" w:firstRowFirstColumn="0" w:firstRowLastColumn="0" w:lastRowFirstColumn="0" w:lastRowLastColumn="0"/>
            <w:tcW w:w="1411" w:type="dxa"/>
            <w:vAlign w:val="center"/>
          </w:tcPr>
          <w:p w14:paraId="63A8AFC1" w14:textId="371C0596" w:rsidR="000820AD" w:rsidRPr="009D3DB8" w:rsidRDefault="00B3677F" w:rsidP="00031A82">
            <w:pPr>
              <w:pStyle w:val="BodyTextNoIndent"/>
              <w:jc w:val="left"/>
              <w:rPr>
                <w:rFonts w:ascii="Courier New" w:hAnsi="Courier New" w:cs="Courier New"/>
              </w:rPr>
            </w:pPr>
            <w:r>
              <w:rPr>
                <w:rFonts w:ascii="Courier New" w:hAnsi="Courier New" w:cs="Courier New"/>
              </w:rPr>
              <w:t>Previous-</w:t>
            </w:r>
            <w:r>
              <w:rPr>
                <w:rFonts w:ascii="Courier New" w:hAnsi="Courier New" w:cs="Courier New"/>
              </w:rPr>
              <w:br/>
              <w:t>Shape</w:t>
            </w:r>
          </w:p>
        </w:tc>
        <w:tc>
          <w:tcPr>
            <w:tcW w:w="3566" w:type="dxa"/>
            <w:vAlign w:val="center"/>
          </w:tcPr>
          <w:p w14:paraId="596B5B46" w14:textId="62082634" w:rsidR="000820AD" w:rsidRDefault="000820AD" w:rsidP="00B52AD8">
            <w:pPr>
              <w:pStyle w:val="BodyTextNoIndent"/>
              <w:jc w:val="left"/>
              <w:cnfStyle w:val="000000000000" w:firstRow="0" w:lastRow="0" w:firstColumn="0" w:lastColumn="0" w:oddVBand="0" w:evenVBand="0" w:oddHBand="0" w:evenHBand="0" w:firstRowFirstColumn="0" w:firstRowLastColumn="0" w:lastRowFirstColumn="0" w:lastRowLastColumn="0"/>
            </w:pPr>
            <w:r>
              <w:t xml:space="preserve">Returns the formulas for the previous </w:t>
            </w:r>
            <w:r w:rsidRPr="00B52AD8">
              <w:rPr>
                <w:i/>
              </w:rPr>
              <w:t>shape</w:t>
            </w:r>
            <w:r>
              <w:t>.</w:t>
            </w:r>
          </w:p>
        </w:tc>
      </w:tr>
    </w:tbl>
    <w:p w14:paraId="523F17C7" w14:textId="7CCA2679" w:rsidR="000820AD" w:rsidRDefault="000820AD" w:rsidP="00870AE2">
      <w:pPr>
        <w:pStyle w:val="BodyTextIndent0"/>
      </w:pPr>
      <w:r>
        <w:t xml:space="preserve"> </w:t>
      </w:r>
    </w:p>
    <w:p w14:paraId="680915CA" w14:textId="4506A279" w:rsidR="002F639B" w:rsidRPr="00D57D4C" w:rsidRDefault="00870AE2" w:rsidP="009613DE">
      <w:pPr>
        <w:pStyle w:val="Heading2"/>
      </w:pPr>
      <w:r>
        <w:t xml:space="preserve">Using </w:t>
      </w:r>
      <w:r w:rsidR="002F639B" w:rsidRPr="00D57D4C">
        <w:t>Vis-à-vis</w:t>
      </w:r>
      <w:r>
        <w:t xml:space="preserve"> to Create a Chart</w:t>
      </w:r>
    </w:p>
    <w:p w14:paraId="680915CB" w14:textId="4A946D71" w:rsidR="002F639B" w:rsidRDefault="002F639B" w:rsidP="008D1AC5">
      <w:pPr>
        <w:pStyle w:val="BodyTextNoIndent"/>
      </w:pPr>
      <w:r w:rsidRPr="00D57D4C">
        <w:t xml:space="preserve">Vis-à-vis has been used to reconstruct a number of standard </w:t>
      </w:r>
      <w:r>
        <w:t xml:space="preserve">and non-standard </w:t>
      </w:r>
      <w:r w:rsidRPr="00D57D4C">
        <w:t xml:space="preserve">charts. Figure 1 illustrates a </w:t>
      </w:r>
      <w:r w:rsidRPr="00D57D4C">
        <w:rPr>
          <w:i/>
        </w:rPr>
        <w:t xml:space="preserve">bubble chart, </w:t>
      </w:r>
      <w:r>
        <w:t xml:space="preserve">in which </w:t>
      </w:r>
      <w:r w:rsidRPr="00D57D4C">
        <w:t xml:space="preserve">each bubble takes on values for size, location, and color. Note that </w:t>
      </w:r>
      <w:r w:rsidRPr="00D57D4C">
        <w:rPr>
          <w:i/>
        </w:rPr>
        <w:t>size</w:t>
      </w:r>
      <w:r w:rsidRPr="00D57D4C">
        <w:t xml:space="preserve"> is computed as a formula, and that the lock icon next to it is closed: this indicates that size is locked to screen coordinates. (A more complex bubble chart, with labels, can be seen in the accompanying video.)</w:t>
      </w:r>
    </w:p>
    <w:p w14:paraId="35292E3D" w14:textId="70F000CA" w:rsidR="00544EA2" w:rsidRDefault="002F639B" w:rsidP="009A5354">
      <w:pPr>
        <w:pStyle w:val="BodyTextIndent0"/>
      </w:pPr>
      <w:r>
        <w:t xml:space="preserve">Table </w:t>
      </w:r>
      <w:r w:rsidR="004A69A6">
        <w:t>3</w:t>
      </w:r>
      <w:r>
        <w:t xml:space="preserve"> lists a number of </w:t>
      </w:r>
      <w:r w:rsidR="004A69A6">
        <w:t xml:space="preserve">common </w:t>
      </w:r>
      <w:r>
        <w:t xml:space="preserve">visualizations along with the visual styles for each element needed to create </w:t>
      </w:r>
      <w:proofErr w:type="spellStart"/>
      <w:r>
        <w:t>them.</w:t>
      </w:r>
      <w:r w:rsidR="00544EA2">
        <w:t>In</w:t>
      </w:r>
      <w:proofErr w:type="spellEnd"/>
      <w:r w:rsidR="00544EA2">
        <w:t xml:space="preserve"> that </w:t>
      </w:r>
      <w:proofErr w:type="gramStart"/>
      <w:r w:rsidR="00544EA2">
        <w:t>table,</w:t>
      </w:r>
      <w:proofErr w:type="gramEnd"/>
      <w:r w:rsidR="00544EA2">
        <w:t xml:space="preserve"> we show both the subset of the forum</w:t>
      </w:r>
    </w:p>
    <w:p w14:paraId="680915CD" w14:textId="07DFB1AE" w:rsidR="002F639B" w:rsidRDefault="00544EA2" w:rsidP="009A5354">
      <w:pPr>
        <w:pStyle w:val="BodyTextIndent0"/>
        <w:sectPr w:rsidR="002F639B" w:rsidSect="002F639B">
          <w:headerReference w:type="even" r:id="rId24"/>
          <w:type w:val="continuous"/>
          <w:pgSz w:w="11907" w:h="16840" w:code="9"/>
          <w:pgMar w:top="1411" w:right="1080" w:bottom="1411" w:left="1080" w:header="490" w:footer="432" w:gutter="0"/>
          <w:cols w:num="2" w:space="245"/>
          <w:titlePg/>
          <w:docGrid w:linePitch="360"/>
        </w:sectPr>
      </w:pPr>
      <w:r>
        <w:t xml:space="preserve"> </w:t>
      </w:r>
    </w:p>
    <w:p w14:paraId="680915CE" w14:textId="1DA62643" w:rsidR="002F639B" w:rsidRDefault="002F639B" w:rsidP="009A5354">
      <w:pPr>
        <w:pStyle w:val="BodyTextIndent0"/>
      </w:pPr>
    </w:p>
    <w:p w14:paraId="680915CF" w14:textId="77777777" w:rsidR="002F639B" w:rsidRDefault="002F639B" w:rsidP="009A5354">
      <w:pPr>
        <w:pStyle w:val="BodyTextIndent0"/>
      </w:pPr>
    </w:p>
    <w:p w14:paraId="680915D0" w14:textId="0A16A6DE" w:rsidR="002F639B" w:rsidRDefault="008221DD" w:rsidP="009A5354">
      <w:pPr>
        <w:pStyle w:val="BodyTextIndent0"/>
      </w:pPr>
      <w:r>
        <w:rPr>
          <w:noProof/>
        </w:rPr>
        <w:lastRenderedPageBreak/>
        <mc:AlternateContent>
          <mc:Choice Requires="wps">
            <w:drawing>
              <wp:anchor distT="0" distB="0" distL="114300" distR="114300" simplePos="0" relativeHeight="251661312" behindDoc="0" locked="0" layoutInCell="1" allowOverlap="1" wp14:anchorId="6809167A" wp14:editId="2F921F07">
                <wp:simplePos x="0" y="0"/>
                <wp:positionH relativeFrom="column">
                  <wp:posOffset>-116058</wp:posOffset>
                </wp:positionH>
                <wp:positionV relativeFrom="paragraph">
                  <wp:posOffset>-87093</wp:posOffset>
                </wp:positionV>
                <wp:extent cx="5013960" cy="246185"/>
                <wp:effectExtent l="0" t="0" r="0" b="1905"/>
                <wp:wrapNone/>
                <wp:docPr id="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960" cy="24618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80916D0" w14:textId="1CE6D263" w:rsidR="003C72FA" w:rsidRDefault="003C72FA" w:rsidP="00927460">
                            <w:pPr>
                              <w:pStyle w:val="TableCaption"/>
                            </w:pPr>
                            <w:proofErr w:type="gramStart"/>
                            <w:r>
                              <w:t>Table 3: Several examples of vis-à-vis charts and the formulae that they use.</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32" type="#_x0000_t202" style="position:absolute;left:0;text-align:left;margin-left:-9.15pt;margin-top:-6.85pt;width:394.8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" filled="f" stroked="f">
                <v:textbox>
                  <w:txbxContent>
                    <w:p w14:paraId="680916D0" w14:textId="1CE6D263" w:rsidR="003C72FA" w:rsidRDefault="003C72FA" w:rsidP="00927460">
                      <w:pPr>
                        <w:pStyle w:val="TableCaption"/>
                      </w:pPr>
                      <w:proofErr w:type="gramStart"/>
                      <w:r>
                        <w:t>Table 3: Several examples of vis-à-vis charts and the formulae that they use.</w:t>
                      </w:r>
                      <w:proofErr w:type="gramEnd"/>
                    </w:p>
                  </w:txbxContent>
                </v:textbox>
              </v:shape>
            </w:pict>
          </mc:Fallback>
        </mc:AlternateContent>
      </w:r>
    </w:p>
    <w:p w14:paraId="680915D1" w14:textId="77777777" w:rsidR="002F639B" w:rsidRDefault="002F639B" w:rsidP="009A5354">
      <w:pPr>
        <w:pStyle w:val="BodyTextIndent0"/>
        <w:sectPr w:rsidR="002F639B" w:rsidSect="002F639B">
          <w:type w:val="continuous"/>
          <w:pgSz w:w="11907" w:h="16840" w:code="9"/>
          <w:pgMar w:top="1411" w:right="1080" w:bottom="1411" w:left="1080" w:header="490" w:footer="432" w:gutter="0"/>
          <w:cols w:num="2" w:space="245"/>
          <w:titlePg/>
          <w:docGrid w:linePitch="360"/>
        </w:sectPr>
      </w:pPr>
    </w:p>
    <w:tbl>
      <w:tblPr>
        <w:tblStyle w:val="TableGrid1"/>
        <w:tblW w:w="9910" w:type="dxa"/>
        <w:tblLayout w:type="fixed"/>
        <w:tblLook w:val="06A0" w:firstRow="1" w:lastRow="0" w:firstColumn="1" w:lastColumn="0" w:noHBand="1" w:noVBand="1"/>
      </w:tblPr>
      <w:tblGrid>
        <w:gridCol w:w="1850"/>
        <w:gridCol w:w="3118"/>
        <w:gridCol w:w="2194"/>
        <w:gridCol w:w="2748"/>
      </w:tblGrid>
      <w:tr w:rsidR="002012E1" w:rsidRPr="00380146" w14:paraId="680915D6" w14:textId="77777777" w:rsidTr="0089752A">
        <w:trPr>
          <w:trHeight w:val="146"/>
        </w:trPr>
        <w:tc>
          <w:tcPr>
            <w:tcW w:w="1850" w:type="dxa"/>
            <w:tcBorders>
              <w:left w:val="nil"/>
              <w:right w:val="nil"/>
            </w:tcBorders>
          </w:tcPr>
          <w:p w14:paraId="680915D2" w14:textId="1CF8BA7A" w:rsidR="002012E1" w:rsidRPr="00495E02" w:rsidRDefault="002012E1" w:rsidP="002012E1">
            <w:pPr>
              <w:spacing w:after="0"/>
              <w:ind w:firstLine="0"/>
              <w:contextualSpacing/>
            </w:pPr>
            <w:r w:rsidRPr="002012E1">
              <w:rPr>
                <w:b/>
              </w:rPr>
              <w:lastRenderedPageBreak/>
              <w:t>Type</w:t>
            </w:r>
            <w:r>
              <w:t xml:space="preserve"> </w:t>
            </w:r>
          </w:p>
        </w:tc>
        <w:tc>
          <w:tcPr>
            <w:tcW w:w="3118" w:type="dxa"/>
            <w:tcBorders>
              <w:left w:val="nil"/>
            </w:tcBorders>
          </w:tcPr>
          <w:p w14:paraId="680915D3" w14:textId="0E807F66" w:rsidR="002012E1" w:rsidRPr="002012E1" w:rsidRDefault="002012E1" w:rsidP="002012E1">
            <w:pPr>
              <w:spacing w:after="0"/>
              <w:ind w:firstLine="0"/>
              <w:contextualSpacing/>
              <w:rPr>
                <w:b/>
                <w:noProof/>
                <w:szCs w:val="18"/>
              </w:rPr>
            </w:pPr>
            <w:r w:rsidRPr="002012E1">
              <w:rPr>
                <w:b/>
                <w:noProof/>
                <w:szCs w:val="18"/>
              </w:rPr>
              <w:t>Marks Used &amp; Code</w:t>
            </w:r>
          </w:p>
        </w:tc>
        <w:tc>
          <w:tcPr>
            <w:tcW w:w="2194" w:type="dxa"/>
            <w:tcBorders>
              <w:right w:val="nil"/>
            </w:tcBorders>
          </w:tcPr>
          <w:p w14:paraId="680915D4" w14:textId="4DC1D56A" w:rsidR="002012E1" w:rsidRPr="00380146" w:rsidRDefault="002012E1" w:rsidP="00C26763">
            <w:pPr>
              <w:spacing w:after="0"/>
              <w:ind w:firstLine="0"/>
              <w:contextualSpacing/>
              <w:rPr>
                <w:szCs w:val="18"/>
              </w:rPr>
            </w:pPr>
            <w:r w:rsidRPr="002012E1">
              <w:rPr>
                <w:b/>
              </w:rPr>
              <w:t>Type</w:t>
            </w:r>
            <w:r>
              <w:t xml:space="preserve"> </w:t>
            </w:r>
          </w:p>
        </w:tc>
        <w:tc>
          <w:tcPr>
            <w:tcW w:w="2748" w:type="dxa"/>
            <w:tcBorders>
              <w:left w:val="nil"/>
              <w:right w:val="nil"/>
            </w:tcBorders>
          </w:tcPr>
          <w:p w14:paraId="680915D5" w14:textId="4987E0A7" w:rsidR="002012E1" w:rsidRPr="00380146" w:rsidRDefault="002012E1" w:rsidP="00C26763">
            <w:pPr>
              <w:spacing w:after="0"/>
              <w:ind w:firstLine="0"/>
              <w:contextualSpacing/>
              <w:rPr>
                <w:szCs w:val="18"/>
              </w:rPr>
            </w:pPr>
            <w:r w:rsidRPr="002012E1">
              <w:rPr>
                <w:b/>
                <w:noProof/>
                <w:szCs w:val="18"/>
              </w:rPr>
              <w:t>Marks Used &amp; Code</w:t>
            </w:r>
          </w:p>
        </w:tc>
      </w:tr>
      <w:tr w:rsidR="002F639B" w:rsidRPr="00380146" w14:paraId="680915DC" w14:textId="77777777" w:rsidTr="0089752A">
        <w:trPr>
          <w:trHeight w:val="146"/>
        </w:trPr>
        <w:tc>
          <w:tcPr>
            <w:tcW w:w="1850" w:type="dxa"/>
            <w:tcBorders>
              <w:left w:val="nil"/>
              <w:right w:val="nil"/>
            </w:tcBorders>
          </w:tcPr>
          <w:p w14:paraId="680915D7" w14:textId="77777777" w:rsidR="002F639B" w:rsidRPr="00791ADF" w:rsidRDefault="002F639B" w:rsidP="00C26763">
            <w:pPr>
              <w:spacing w:after="0"/>
              <w:ind w:firstLine="0"/>
              <w:contextualSpacing/>
              <w:rPr>
                <w:b/>
              </w:rPr>
            </w:pPr>
            <w:r w:rsidRPr="00791ADF">
              <w:rPr>
                <w:b/>
              </w:rPr>
              <w:t>Column</w:t>
            </w:r>
          </w:p>
          <w:p w14:paraId="680915D8" w14:textId="500C09BB" w:rsidR="002F639B" w:rsidRPr="00495E02" w:rsidRDefault="00791ADF" w:rsidP="00C26763">
            <w:pPr>
              <w:spacing w:after="0"/>
              <w:ind w:firstLine="0"/>
              <w:contextualSpacing/>
            </w:pPr>
            <w:r>
              <w:rPr>
                <w:noProof/>
                <w:lang w:val="en-US"/>
              </w:rPr>
              <w:drawing>
                <wp:inline distT="0" distB="0" distL="0" distR="0" wp14:anchorId="78DE1928" wp14:editId="7B7805A5">
                  <wp:extent cx="990600" cy="94615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946150"/>
                          </a:xfrm>
                          <a:prstGeom prst="rect">
                            <a:avLst/>
                          </a:prstGeom>
                          <a:noFill/>
                          <a:ln>
                            <a:noFill/>
                          </a:ln>
                        </pic:spPr>
                      </pic:pic>
                    </a:graphicData>
                  </a:graphic>
                </wp:inline>
              </w:drawing>
            </w:r>
          </w:p>
        </w:tc>
        <w:tc>
          <w:tcPr>
            <w:tcW w:w="3118" w:type="dxa"/>
            <w:tcBorders>
              <w:left w:val="nil"/>
            </w:tcBorders>
          </w:tcPr>
          <w:p w14:paraId="470BB2D8" w14:textId="48E9B95E" w:rsidR="00791ADF" w:rsidRPr="00791ADF" w:rsidRDefault="00791ADF" w:rsidP="00791ADF">
            <w:pPr>
              <w:spacing w:after="0"/>
              <w:ind w:firstLine="0"/>
              <w:contextualSpacing/>
              <w:jc w:val="left"/>
              <w:rPr>
                <w:rFonts w:ascii="Courier New" w:hAnsi="Courier New" w:cs="Courier New"/>
                <w:sz w:val="14"/>
                <w:szCs w:val="18"/>
              </w:rPr>
            </w:pPr>
            <w:r>
              <w:rPr>
                <w:rFonts w:ascii="Courier New" w:hAnsi="Courier New" w:cs="Courier New"/>
                <w:b/>
                <w:sz w:val="14"/>
                <w:szCs w:val="18"/>
              </w:rPr>
              <w:t>Box</w:t>
            </w:r>
            <w:r>
              <w:rPr>
                <w:rFonts w:ascii="Courier New" w:hAnsi="Courier New" w:cs="Courier New"/>
                <w:b/>
                <w:sz w:val="14"/>
                <w:szCs w:val="18"/>
              </w:rPr>
              <w:br/>
            </w:r>
            <w:r w:rsidRPr="00791ADF">
              <w:rPr>
                <w:rFonts w:ascii="Courier New" w:hAnsi="Courier New" w:cs="Courier New"/>
                <w:sz w:val="14"/>
                <w:szCs w:val="18"/>
              </w:rPr>
              <w:t>X</w:t>
            </w:r>
            <w:r>
              <w:rPr>
                <w:rFonts w:ascii="Courier New" w:hAnsi="Courier New" w:cs="Courier New"/>
                <w:sz w:val="14"/>
                <w:szCs w:val="18"/>
              </w:rPr>
              <w:t xml:space="preserve"> = </w:t>
            </w:r>
            <w:r w:rsidRPr="00791ADF">
              <w:rPr>
                <w:rFonts w:ascii="Courier New" w:hAnsi="Courier New" w:cs="Courier New"/>
                <w:sz w:val="14"/>
                <w:szCs w:val="18"/>
              </w:rPr>
              <w:t>0.75 * rowIndex()</w:t>
            </w:r>
            <w:r w:rsidRPr="00791ADF">
              <w:rPr>
                <w:rFonts w:ascii="Courier New" w:hAnsi="Courier New" w:cs="Courier New"/>
                <w:sz w:val="14"/>
                <w:szCs w:val="18"/>
              </w:rPr>
              <w:br/>
              <w:t>Y = 0</w:t>
            </w:r>
          </w:p>
          <w:p w14:paraId="677D78BE" w14:textId="77777777" w:rsidR="00791ADF" w:rsidRPr="00791ADF" w:rsidRDefault="00791ADF" w:rsidP="00791ADF">
            <w:pPr>
              <w:spacing w:after="0"/>
              <w:ind w:firstLine="0"/>
              <w:contextualSpacing/>
              <w:jc w:val="left"/>
              <w:rPr>
                <w:rFonts w:ascii="Courier New" w:hAnsi="Courier New" w:cs="Courier New"/>
                <w:sz w:val="14"/>
                <w:szCs w:val="18"/>
              </w:rPr>
            </w:pPr>
            <w:r w:rsidRPr="00791ADF">
              <w:rPr>
                <w:rFonts w:ascii="Courier New" w:hAnsi="Courier New" w:cs="Courier New"/>
                <w:sz w:val="14"/>
                <w:szCs w:val="18"/>
              </w:rPr>
              <w:t>Width  = 0.5</w:t>
            </w:r>
          </w:p>
          <w:p w14:paraId="16797328" w14:textId="77777777" w:rsidR="00791ADF" w:rsidRDefault="00791ADF" w:rsidP="00791ADF">
            <w:pPr>
              <w:spacing w:after="0"/>
              <w:ind w:firstLine="0"/>
              <w:contextualSpacing/>
              <w:jc w:val="left"/>
              <w:rPr>
                <w:rFonts w:ascii="Courier New" w:hAnsi="Courier New" w:cs="Courier New"/>
                <w:sz w:val="14"/>
                <w:szCs w:val="18"/>
              </w:rPr>
            </w:pPr>
            <w:r w:rsidRPr="00791ADF">
              <w:rPr>
                <w:rFonts w:ascii="Courier New" w:hAnsi="Courier New" w:cs="Courier New"/>
                <w:sz w:val="14"/>
                <w:szCs w:val="18"/>
              </w:rPr>
              <w:t>Height = A2</w:t>
            </w:r>
          </w:p>
          <w:p w14:paraId="680915D9" w14:textId="55F5D755" w:rsidR="002F639B" w:rsidRPr="00380146" w:rsidRDefault="00791ADF" w:rsidP="00791ADF">
            <w:pPr>
              <w:spacing w:after="0"/>
              <w:ind w:firstLine="0"/>
              <w:contextualSpacing/>
              <w:jc w:val="left"/>
              <w:rPr>
                <w:szCs w:val="18"/>
              </w:rPr>
            </w:pPr>
            <w:r>
              <w:rPr>
                <w:rFonts w:ascii="Courier New" w:hAnsi="Courier New" w:cs="Courier New"/>
                <w:sz w:val="14"/>
                <w:szCs w:val="18"/>
              </w:rPr>
              <w:t>Fill = 220, 220, 220</w:t>
            </w:r>
          </w:p>
        </w:tc>
        <w:tc>
          <w:tcPr>
            <w:tcW w:w="2194" w:type="dxa"/>
            <w:tcBorders>
              <w:right w:val="nil"/>
            </w:tcBorders>
          </w:tcPr>
          <w:p w14:paraId="680915DA" w14:textId="332C843F" w:rsidR="002F639B" w:rsidRPr="00380146" w:rsidRDefault="00791ADF" w:rsidP="00791ADF">
            <w:pPr>
              <w:spacing w:after="0"/>
              <w:ind w:firstLine="0"/>
              <w:contextualSpacing/>
              <w:jc w:val="left"/>
              <w:rPr>
                <w:szCs w:val="18"/>
              </w:rPr>
            </w:pPr>
            <w:r w:rsidRPr="00791ADF">
              <w:rPr>
                <w:b/>
                <w:szCs w:val="18"/>
              </w:rPr>
              <w:t>Clustered Column</w:t>
            </w:r>
            <w:r>
              <w:rPr>
                <w:szCs w:val="18"/>
              </w:rPr>
              <w:br/>
            </w:r>
            <w:r>
              <w:rPr>
                <w:noProof/>
                <w:lang w:val="en-US"/>
              </w:rPr>
              <w:drawing>
                <wp:inline distT="0" distB="0" distL="0" distR="0" wp14:anchorId="49D79004" wp14:editId="6DBCB44E">
                  <wp:extent cx="1016000" cy="965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00" cy="965200"/>
                          </a:xfrm>
                          <a:prstGeom prst="rect">
                            <a:avLst/>
                          </a:prstGeom>
                          <a:noFill/>
                          <a:ln>
                            <a:noFill/>
                          </a:ln>
                        </pic:spPr>
                      </pic:pic>
                    </a:graphicData>
                  </a:graphic>
                </wp:inline>
              </w:drawing>
            </w:r>
          </w:p>
        </w:tc>
        <w:tc>
          <w:tcPr>
            <w:tcW w:w="2748" w:type="dxa"/>
            <w:tcBorders>
              <w:left w:val="nil"/>
              <w:right w:val="nil"/>
            </w:tcBorders>
          </w:tcPr>
          <w:p w14:paraId="366282B1" w14:textId="2A5E24A4" w:rsidR="00791ADF" w:rsidRPr="00791ADF" w:rsidRDefault="00791ADF" w:rsidP="00C26763">
            <w:pPr>
              <w:spacing w:after="0"/>
              <w:ind w:firstLine="0"/>
              <w:contextualSpacing/>
              <w:rPr>
                <w:rFonts w:ascii="Courier New" w:hAnsi="Courier New" w:cs="Courier New"/>
                <w:sz w:val="14"/>
                <w:szCs w:val="14"/>
              </w:rPr>
            </w:pPr>
            <w:r w:rsidRPr="00791ADF">
              <w:rPr>
                <w:rFonts w:ascii="Courier New" w:hAnsi="Courier New" w:cs="Courier New"/>
                <w:b/>
                <w:sz w:val="14"/>
                <w:szCs w:val="14"/>
              </w:rPr>
              <w:t>Box</w:t>
            </w:r>
            <w:r w:rsidRPr="00791ADF">
              <w:rPr>
                <w:rFonts w:ascii="Courier New" w:hAnsi="Courier New" w:cs="Courier New"/>
                <w:sz w:val="14"/>
                <w:szCs w:val="14"/>
              </w:rPr>
              <w:br/>
              <w:t>X = 1 + RowIndex()</w:t>
            </w:r>
          </w:p>
          <w:p w14:paraId="3C6243B5" w14:textId="77777777" w:rsidR="00791ADF" w:rsidRPr="00791ADF" w:rsidRDefault="00791ADF" w:rsidP="00C26763">
            <w:pPr>
              <w:spacing w:after="0"/>
              <w:ind w:firstLine="0"/>
              <w:contextualSpacing/>
              <w:rPr>
                <w:rFonts w:ascii="Courier New" w:hAnsi="Courier New" w:cs="Courier New"/>
                <w:sz w:val="14"/>
                <w:szCs w:val="14"/>
              </w:rPr>
            </w:pPr>
            <w:r w:rsidRPr="00791ADF">
              <w:rPr>
                <w:rFonts w:ascii="Courier New" w:hAnsi="Courier New" w:cs="Courier New"/>
                <w:sz w:val="14"/>
                <w:szCs w:val="14"/>
              </w:rPr>
              <w:t>Width = 0.25</w:t>
            </w:r>
          </w:p>
          <w:p w14:paraId="58177615" w14:textId="77777777" w:rsidR="00791ADF" w:rsidRPr="00791ADF" w:rsidRDefault="00791ADF" w:rsidP="00C26763">
            <w:pPr>
              <w:spacing w:after="0"/>
              <w:ind w:firstLine="0"/>
              <w:contextualSpacing/>
              <w:rPr>
                <w:rFonts w:ascii="Courier New" w:hAnsi="Courier New" w:cs="Courier New"/>
                <w:sz w:val="14"/>
                <w:szCs w:val="14"/>
              </w:rPr>
            </w:pPr>
            <w:r w:rsidRPr="00791ADF">
              <w:rPr>
                <w:rFonts w:ascii="Courier New" w:hAnsi="Courier New" w:cs="Courier New"/>
                <w:sz w:val="14"/>
                <w:szCs w:val="14"/>
              </w:rPr>
              <w:t>Height = B2</w:t>
            </w:r>
          </w:p>
          <w:p w14:paraId="2BECABE5" w14:textId="77777777" w:rsidR="00791ADF" w:rsidRDefault="00791ADF" w:rsidP="00C26763">
            <w:pPr>
              <w:spacing w:after="0"/>
              <w:ind w:firstLine="0"/>
              <w:contextualSpacing/>
              <w:rPr>
                <w:rFonts w:ascii="Courier New" w:hAnsi="Courier New" w:cs="Courier New"/>
                <w:sz w:val="14"/>
                <w:szCs w:val="14"/>
              </w:rPr>
            </w:pPr>
            <w:r w:rsidRPr="00791ADF">
              <w:rPr>
                <w:rFonts w:ascii="Courier New" w:hAnsi="Courier New" w:cs="Courier New"/>
                <w:sz w:val="14"/>
                <w:szCs w:val="14"/>
              </w:rPr>
              <w:t>Fill = 128, 128, 128</w:t>
            </w:r>
          </w:p>
          <w:p w14:paraId="464AF619" w14:textId="77777777" w:rsidR="00791ADF" w:rsidRDefault="00791ADF" w:rsidP="00C26763">
            <w:pPr>
              <w:spacing w:after="0"/>
              <w:ind w:firstLine="0"/>
              <w:contextualSpacing/>
              <w:rPr>
                <w:rFonts w:ascii="Courier New" w:hAnsi="Courier New" w:cs="Courier New"/>
                <w:sz w:val="14"/>
                <w:szCs w:val="14"/>
              </w:rPr>
            </w:pPr>
          </w:p>
          <w:p w14:paraId="44CFF247" w14:textId="77777777" w:rsidR="00791ADF" w:rsidRPr="00380146" w:rsidRDefault="00791ADF" w:rsidP="00791ADF">
            <w:pPr>
              <w:spacing w:after="0"/>
              <w:ind w:firstLine="0"/>
              <w:contextualSpacing/>
              <w:rPr>
                <w:szCs w:val="18"/>
              </w:rPr>
            </w:pPr>
            <w:r w:rsidRPr="00380146">
              <w:rPr>
                <w:szCs w:val="18"/>
              </w:rPr>
              <w:t>This has two shapes in the style, the first exactly as above, and the second series sets the X locations to ‘1 + rowIndex()’ and the Height to a cell in the second column of the spreadsheet.</w:t>
            </w:r>
          </w:p>
          <w:p w14:paraId="680915DB" w14:textId="318B410A" w:rsidR="002F639B" w:rsidRPr="00791ADF" w:rsidRDefault="002F639B" w:rsidP="00C26763">
            <w:pPr>
              <w:spacing w:after="0"/>
              <w:ind w:firstLine="0"/>
              <w:contextualSpacing/>
              <w:rPr>
                <w:rFonts w:ascii="Courier New" w:hAnsi="Courier New" w:cs="Courier New"/>
                <w:szCs w:val="18"/>
              </w:rPr>
            </w:pPr>
          </w:p>
        </w:tc>
      </w:tr>
      <w:tr w:rsidR="00791ADF" w:rsidRPr="00380146" w14:paraId="680915E3" w14:textId="77777777" w:rsidTr="0089752A">
        <w:trPr>
          <w:trHeight w:val="146"/>
        </w:trPr>
        <w:tc>
          <w:tcPr>
            <w:tcW w:w="1850" w:type="dxa"/>
            <w:tcBorders>
              <w:left w:val="nil"/>
              <w:right w:val="nil"/>
            </w:tcBorders>
            <w:hideMark/>
          </w:tcPr>
          <w:p w14:paraId="680915DD" w14:textId="39C5DD3E" w:rsidR="00791ADF" w:rsidRPr="00791ADF" w:rsidRDefault="00791ADF" w:rsidP="00C26763">
            <w:pPr>
              <w:spacing w:after="0"/>
              <w:ind w:firstLine="0"/>
              <w:contextualSpacing/>
              <w:rPr>
                <w:b/>
              </w:rPr>
            </w:pPr>
            <w:r w:rsidRPr="00791ADF">
              <w:rPr>
                <w:b/>
              </w:rPr>
              <w:t>Stacked Column</w:t>
            </w:r>
          </w:p>
          <w:p w14:paraId="680915DE" w14:textId="633F95D8" w:rsidR="00791ADF" w:rsidRPr="00495E02" w:rsidRDefault="00791ADF" w:rsidP="00C26763">
            <w:pPr>
              <w:spacing w:after="0"/>
              <w:ind w:firstLine="0"/>
              <w:contextualSpacing/>
            </w:pPr>
            <w:r>
              <w:rPr>
                <w:noProof/>
                <w:lang w:val="en-US"/>
              </w:rPr>
              <w:drawing>
                <wp:inline distT="0" distB="0" distL="0" distR="0" wp14:anchorId="66CC6A97" wp14:editId="4B21FDE5">
                  <wp:extent cx="1003300" cy="946150"/>
                  <wp:effectExtent l="0" t="0" r="1270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3300" cy="946150"/>
                          </a:xfrm>
                          <a:prstGeom prst="rect">
                            <a:avLst/>
                          </a:prstGeom>
                          <a:noFill/>
                          <a:ln>
                            <a:noFill/>
                          </a:ln>
                        </pic:spPr>
                      </pic:pic>
                    </a:graphicData>
                  </a:graphic>
                </wp:inline>
              </w:drawing>
            </w:r>
          </w:p>
        </w:tc>
        <w:tc>
          <w:tcPr>
            <w:tcW w:w="3118" w:type="dxa"/>
            <w:tcBorders>
              <w:left w:val="nil"/>
            </w:tcBorders>
            <w:hideMark/>
          </w:tcPr>
          <w:p w14:paraId="116B3419" w14:textId="0F9A3E93" w:rsidR="00791ADF" w:rsidRPr="00791ADF" w:rsidRDefault="00791ADF" w:rsidP="00791ADF">
            <w:pPr>
              <w:spacing w:after="0"/>
              <w:ind w:firstLine="0"/>
              <w:contextualSpacing/>
              <w:jc w:val="left"/>
              <w:rPr>
                <w:rFonts w:ascii="Courier New" w:hAnsi="Courier New" w:cs="Courier New"/>
                <w:sz w:val="14"/>
                <w:szCs w:val="18"/>
              </w:rPr>
            </w:pPr>
            <w:r>
              <w:rPr>
                <w:rFonts w:ascii="Courier New" w:hAnsi="Courier New" w:cs="Courier New"/>
                <w:b/>
                <w:sz w:val="14"/>
                <w:szCs w:val="18"/>
              </w:rPr>
              <w:t>Box</w:t>
            </w:r>
            <w:r>
              <w:rPr>
                <w:rFonts w:ascii="Courier New" w:hAnsi="Courier New" w:cs="Courier New"/>
                <w:b/>
                <w:sz w:val="14"/>
                <w:szCs w:val="18"/>
              </w:rPr>
              <w:br/>
            </w:r>
            <w:r w:rsidRPr="00791ADF">
              <w:rPr>
                <w:rFonts w:ascii="Courier New" w:hAnsi="Courier New" w:cs="Courier New"/>
                <w:sz w:val="14"/>
                <w:szCs w:val="18"/>
              </w:rPr>
              <w:t>X</w:t>
            </w:r>
            <w:r>
              <w:rPr>
                <w:rFonts w:ascii="Courier New" w:hAnsi="Courier New" w:cs="Courier New"/>
                <w:sz w:val="14"/>
                <w:szCs w:val="18"/>
              </w:rPr>
              <w:t xml:space="preserve"> = </w:t>
            </w:r>
            <w:r w:rsidRPr="00791ADF">
              <w:rPr>
                <w:rFonts w:ascii="Courier New" w:hAnsi="Courier New" w:cs="Courier New"/>
                <w:sz w:val="14"/>
                <w:szCs w:val="18"/>
              </w:rPr>
              <w:t>0.75 * rowIndex()</w:t>
            </w:r>
            <w:r w:rsidRPr="00791ADF">
              <w:rPr>
                <w:rFonts w:ascii="Courier New" w:hAnsi="Courier New" w:cs="Courier New"/>
                <w:sz w:val="14"/>
                <w:szCs w:val="18"/>
              </w:rPr>
              <w:br/>
              <w:t xml:space="preserve">Y = </w:t>
            </w:r>
            <w:r w:rsidRPr="00791ADF">
              <w:rPr>
                <w:rFonts w:ascii="Courier New" w:hAnsi="Courier New" w:cs="Courier New"/>
                <w:b/>
                <w:sz w:val="14"/>
                <w:szCs w:val="18"/>
              </w:rPr>
              <w:t>A2</w:t>
            </w:r>
          </w:p>
          <w:p w14:paraId="58BA6ED5" w14:textId="77777777" w:rsidR="00791ADF" w:rsidRPr="00791ADF" w:rsidRDefault="00791ADF" w:rsidP="00791ADF">
            <w:pPr>
              <w:spacing w:after="0"/>
              <w:ind w:firstLine="0"/>
              <w:contextualSpacing/>
              <w:jc w:val="left"/>
              <w:rPr>
                <w:rFonts w:ascii="Courier New" w:hAnsi="Courier New" w:cs="Courier New"/>
                <w:sz w:val="14"/>
                <w:szCs w:val="18"/>
              </w:rPr>
            </w:pPr>
            <w:r w:rsidRPr="00791ADF">
              <w:rPr>
                <w:rFonts w:ascii="Courier New" w:hAnsi="Courier New" w:cs="Courier New"/>
                <w:sz w:val="14"/>
                <w:szCs w:val="18"/>
              </w:rPr>
              <w:t>Width  = 0.5</w:t>
            </w:r>
          </w:p>
          <w:p w14:paraId="033AD3B9" w14:textId="713D4A72" w:rsidR="00791ADF" w:rsidRDefault="00791ADF" w:rsidP="00791ADF">
            <w:pPr>
              <w:spacing w:after="0"/>
              <w:ind w:firstLine="0"/>
              <w:contextualSpacing/>
              <w:jc w:val="left"/>
              <w:rPr>
                <w:rFonts w:ascii="Courier New" w:hAnsi="Courier New" w:cs="Courier New"/>
                <w:sz w:val="14"/>
                <w:szCs w:val="18"/>
              </w:rPr>
            </w:pPr>
            <w:r w:rsidRPr="00791ADF">
              <w:rPr>
                <w:rFonts w:ascii="Courier New" w:hAnsi="Courier New" w:cs="Courier New"/>
                <w:sz w:val="14"/>
                <w:szCs w:val="18"/>
              </w:rPr>
              <w:t xml:space="preserve">Height = </w:t>
            </w:r>
            <w:r>
              <w:rPr>
                <w:rFonts w:ascii="Courier New" w:hAnsi="Courier New" w:cs="Courier New"/>
                <w:sz w:val="14"/>
                <w:szCs w:val="18"/>
              </w:rPr>
              <w:t>B2</w:t>
            </w:r>
          </w:p>
          <w:p w14:paraId="00EDCC05" w14:textId="6E049E5D" w:rsidR="00791ADF" w:rsidRDefault="00791ADF" w:rsidP="00791ADF">
            <w:pPr>
              <w:spacing w:after="0"/>
              <w:ind w:firstLine="0"/>
              <w:contextualSpacing/>
              <w:rPr>
                <w:b/>
                <w:szCs w:val="18"/>
              </w:rPr>
            </w:pPr>
            <w:r>
              <w:rPr>
                <w:rFonts w:ascii="Courier New" w:hAnsi="Courier New" w:cs="Courier New"/>
                <w:sz w:val="14"/>
                <w:szCs w:val="18"/>
              </w:rPr>
              <w:t>Fill = 128, 128, 128</w:t>
            </w:r>
          </w:p>
          <w:p w14:paraId="1BF40AD0" w14:textId="6B5BCE30" w:rsidR="00791ADF" w:rsidRPr="00380146" w:rsidRDefault="00791ADF" w:rsidP="00791ADF">
            <w:pPr>
              <w:spacing w:after="0"/>
              <w:ind w:firstLine="0"/>
              <w:contextualSpacing/>
              <w:rPr>
                <w:szCs w:val="18"/>
              </w:rPr>
            </w:pPr>
            <w:r>
              <w:rPr>
                <w:b/>
                <w:szCs w:val="18"/>
              </w:rPr>
              <w:br/>
            </w:r>
            <w:r>
              <w:rPr>
                <w:szCs w:val="18"/>
              </w:rPr>
              <w:t>T</w:t>
            </w:r>
            <w:r w:rsidRPr="00380146">
              <w:rPr>
                <w:szCs w:val="18"/>
              </w:rPr>
              <w:t xml:space="preserve">he second series </w:t>
            </w:r>
            <w:r>
              <w:rPr>
                <w:szCs w:val="18"/>
              </w:rPr>
              <w:t>starts its boxes at A2, the height of the first series</w:t>
            </w:r>
          </w:p>
          <w:p w14:paraId="680915DF" w14:textId="2F5602CC" w:rsidR="00791ADF" w:rsidRPr="00380146" w:rsidRDefault="00791ADF" w:rsidP="00791ADF">
            <w:pPr>
              <w:spacing w:after="0"/>
              <w:ind w:firstLine="0"/>
              <w:contextualSpacing/>
              <w:rPr>
                <w:szCs w:val="18"/>
              </w:rPr>
            </w:pPr>
          </w:p>
        </w:tc>
        <w:tc>
          <w:tcPr>
            <w:tcW w:w="2194" w:type="dxa"/>
            <w:tcBorders>
              <w:right w:val="nil"/>
            </w:tcBorders>
            <w:hideMark/>
          </w:tcPr>
          <w:p w14:paraId="4DCA300C" w14:textId="74B38522" w:rsidR="00791ADF" w:rsidRPr="00791ADF" w:rsidRDefault="00791ADF" w:rsidP="00791ADF">
            <w:pPr>
              <w:spacing w:after="0"/>
              <w:ind w:firstLine="0"/>
              <w:contextualSpacing/>
              <w:jc w:val="left"/>
              <w:rPr>
                <w:b/>
                <w:szCs w:val="18"/>
              </w:rPr>
            </w:pPr>
            <w:r w:rsidRPr="00791ADF">
              <w:rPr>
                <w:b/>
                <w:szCs w:val="18"/>
              </w:rPr>
              <w:t>Scatter Series</w:t>
            </w:r>
          </w:p>
          <w:p w14:paraId="680915E0" w14:textId="09F4E782" w:rsidR="00791ADF" w:rsidRPr="00380146" w:rsidRDefault="00791ADF" w:rsidP="00C26763">
            <w:pPr>
              <w:spacing w:after="0"/>
              <w:ind w:firstLine="0"/>
              <w:contextualSpacing/>
              <w:rPr>
                <w:szCs w:val="18"/>
              </w:rPr>
            </w:pPr>
            <w:r>
              <w:rPr>
                <w:noProof/>
                <w:lang w:val="en-US"/>
              </w:rPr>
              <w:drawing>
                <wp:inline distT="0" distB="0" distL="0" distR="0" wp14:anchorId="1362253C" wp14:editId="373B302A">
                  <wp:extent cx="1041400" cy="9715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1400" cy="971550"/>
                          </a:xfrm>
                          <a:prstGeom prst="rect">
                            <a:avLst/>
                          </a:prstGeom>
                          <a:noFill/>
                          <a:ln>
                            <a:noFill/>
                          </a:ln>
                        </pic:spPr>
                      </pic:pic>
                    </a:graphicData>
                  </a:graphic>
                </wp:inline>
              </w:drawing>
            </w:r>
          </w:p>
        </w:tc>
        <w:tc>
          <w:tcPr>
            <w:tcW w:w="2748" w:type="dxa"/>
            <w:tcBorders>
              <w:left w:val="nil"/>
              <w:right w:val="nil"/>
            </w:tcBorders>
            <w:hideMark/>
          </w:tcPr>
          <w:p w14:paraId="550BC972" w14:textId="77777777" w:rsidR="00791ADF" w:rsidRPr="00791ADF" w:rsidRDefault="00791ADF" w:rsidP="00C26763">
            <w:pPr>
              <w:spacing w:after="0"/>
              <w:ind w:firstLine="0"/>
              <w:contextualSpacing/>
              <w:rPr>
                <w:rFonts w:ascii="Courier New" w:hAnsi="Courier New" w:cs="Courier New"/>
                <w:sz w:val="14"/>
                <w:szCs w:val="18"/>
              </w:rPr>
            </w:pPr>
            <w:r>
              <w:rPr>
                <w:rFonts w:ascii="Courier New" w:hAnsi="Courier New" w:cs="Courier New"/>
                <w:b/>
                <w:sz w:val="14"/>
                <w:szCs w:val="18"/>
              </w:rPr>
              <w:t>Circle</w:t>
            </w:r>
            <w:r>
              <w:rPr>
                <w:rFonts w:ascii="Courier New" w:hAnsi="Courier New" w:cs="Courier New"/>
                <w:b/>
                <w:sz w:val="14"/>
                <w:szCs w:val="18"/>
              </w:rPr>
              <w:br/>
            </w:r>
            <w:r w:rsidRPr="00791ADF">
              <w:rPr>
                <w:rFonts w:ascii="Courier New" w:hAnsi="Courier New" w:cs="Courier New"/>
                <w:sz w:val="14"/>
                <w:szCs w:val="18"/>
              </w:rPr>
              <w:t>X = A2</w:t>
            </w:r>
          </w:p>
          <w:p w14:paraId="592FBB1A" w14:textId="77777777" w:rsidR="00791ADF" w:rsidRPr="00791ADF" w:rsidRDefault="00791ADF" w:rsidP="00C26763">
            <w:pPr>
              <w:spacing w:after="0"/>
              <w:ind w:firstLine="0"/>
              <w:contextualSpacing/>
              <w:rPr>
                <w:rFonts w:ascii="Courier New" w:hAnsi="Courier New" w:cs="Courier New"/>
                <w:sz w:val="14"/>
                <w:szCs w:val="18"/>
              </w:rPr>
            </w:pPr>
            <w:r w:rsidRPr="00791ADF">
              <w:rPr>
                <w:rFonts w:ascii="Courier New" w:hAnsi="Courier New" w:cs="Courier New"/>
                <w:sz w:val="14"/>
                <w:szCs w:val="18"/>
              </w:rPr>
              <w:t>Y = B2</w:t>
            </w:r>
          </w:p>
          <w:p w14:paraId="347D5ECA" w14:textId="5F32071C" w:rsidR="00791ADF" w:rsidRPr="00791ADF" w:rsidRDefault="00791ADF" w:rsidP="00C26763">
            <w:pPr>
              <w:spacing w:after="0"/>
              <w:ind w:firstLine="0"/>
              <w:contextualSpacing/>
              <w:rPr>
                <w:rFonts w:ascii="Courier New" w:hAnsi="Courier New" w:cs="Courier New"/>
                <w:sz w:val="14"/>
                <w:szCs w:val="18"/>
              </w:rPr>
            </w:pPr>
            <w:r w:rsidRPr="00791ADF">
              <w:rPr>
                <w:rFonts w:ascii="Courier New" w:hAnsi="Courier New" w:cs="Courier New"/>
                <w:sz w:val="14"/>
                <w:szCs w:val="18"/>
              </w:rPr>
              <w:t>Size = 20</w:t>
            </w:r>
            <w:r>
              <w:rPr>
                <w:rFonts w:ascii="Courier New" w:hAnsi="Courier New" w:cs="Courier New"/>
                <w:sz w:val="14"/>
                <w:szCs w:val="18"/>
              </w:rPr>
              <w:t xml:space="preserve"> </w:t>
            </w:r>
            <w:r w:rsidRPr="00791ADF">
              <w:rPr>
                <w:rFonts w:ascii="Courier New" w:hAnsi="Courier New" w:cs="Courier New"/>
                <w:b/>
                <w:sz w:val="14"/>
                <w:szCs w:val="18"/>
              </w:rPr>
              <w:t>{L}</w:t>
            </w:r>
          </w:p>
          <w:p w14:paraId="441DB0AF" w14:textId="77777777" w:rsidR="00791ADF" w:rsidRPr="00791ADF" w:rsidRDefault="00791ADF" w:rsidP="00C26763">
            <w:pPr>
              <w:spacing w:after="0"/>
              <w:ind w:firstLine="0"/>
              <w:contextualSpacing/>
              <w:rPr>
                <w:rFonts w:ascii="Courier New" w:hAnsi="Courier New" w:cs="Courier New"/>
                <w:sz w:val="14"/>
                <w:szCs w:val="18"/>
              </w:rPr>
            </w:pPr>
            <w:r w:rsidRPr="00791ADF">
              <w:rPr>
                <w:rFonts w:ascii="Courier New" w:hAnsi="Courier New" w:cs="Courier New"/>
                <w:sz w:val="14"/>
                <w:szCs w:val="18"/>
              </w:rPr>
              <w:t>Fill = 0, 255, 255, 255</w:t>
            </w:r>
          </w:p>
          <w:p w14:paraId="7D2E965B" w14:textId="77777777" w:rsidR="00791ADF" w:rsidRPr="00791ADF" w:rsidRDefault="00791ADF" w:rsidP="00C26763">
            <w:pPr>
              <w:spacing w:after="0"/>
              <w:ind w:firstLine="0"/>
              <w:contextualSpacing/>
              <w:rPr>
                <w:rFonts w:ascii="Courier New" w:hAnsi="Courier New" w:cs="Courier New"/>
                <w:sz w:val="14"/>
                <w:szCs w:val="18"/>
              </w:rPr>
            </w:pPr>
            <w:r w:rsidRPr="00791ADF">
              <w:rPr>
                <w:rFonts w:ascii="Courier New" w:hAnsi="Courier New" w:cs="Courier New"/>
                <w:sz w:val="14"/>
                <w:szCs w:val="18"/>
              </w:rPr>
              <w:t>Stroke = 128, 128, 128</w:t>
            </w:r>
          </w:p>
          <w:p w14:paraId="050660D5" w14:textId="292989EA" w:rsidR="00791ADF" w:rsidRPr="00380146" w:rsidRDefault="00791ADF" w:rsidP="00791ADF">
            <w:pPr>
              <w:spacing w:after="0"/>
              <w:ind w:firstLine="0"/>
              <w:contextualSpacing/>
              <w:rPr>
                <w:szCs w:val="18"/>
              </w:rPr>
            </w:pPr>
            <w:r>
              <w:rPr>
                <w:rFonts w:ascii="Courier New" w:hAnsi="Courier New" w:cs="Courier New"/>
                <w:b/>
                <w:sz w:val="14"/>
                <w:szCs w:val="18"/>
              </w:rPr>
              <w:br/>
            </w:r>
            <w:r>
              <w:rPr>
                <w:szCs w:val="18"/>
              </w:rPr>
              <w:t>The size of the circles is locked to pixel space to ensure that they are not scaled to the axes.</w:t>
            </w:r>
          </w:p>
          <w:p w14:paraId="680915E2" w14:textId="7E848D50" w:rsidR="00791ADF" w:rsidRPr="00380146" w:rsidRDefault="00791ADF" w:rsidP="00C26763">
            <w:pPr>
              <w:spacing w:after="0"/>
              <w:ind w:firstLine="0"/>
              <w:contextualSpacing/>
              <w:rPr>
                <w:szCs w:val="18"/>
              </w:rPr>
            </w:pPr>
          </w:p>
        </w:tc>
      </w:tr>
      <w:tr w:rsidR="00E57EDA" w:rsidRPr="00380146" w14:paraId="680915EB" w14:textId="77777777" w:rsidTr="0089752A">
        <w:trPr>
          <w:trHeight w:val="146"/>
        </w:trPr>
        <w:tc>
          <w:tcPr>
            <w:tcW w:w="1850" w:type="dxa"/>
            <w:tcBorders>
              <w:left w:val="nil"/>
              <w:right w:val="nil"/>
            </w:tcBorders>
          </w:tcPr>
          <w:p w14:paraId="2D272135" w14:textId="6226061B" w:rsidR="00E57EDA" w:rsidRDefault="00E57EDA" w:rsidP="00C26763">
            <w:pPr>
              <w:spacing w:after="0"/>
              <w:ind w:firstLine="0"/>
              <w:contextualSpacing/>
              <w:rPr>
                <w:b/>
              </w:rPr>
            </w:pPr>
            <w:r w:rsidRPr="00E57EDA">
              <w:rPr>
                <w:b/>
              </w:rPr>
              <w:t>Line Series</w:t>
            </w:r>
          </w:p>
          <w:p w14:paraId="4A4B10CB" w14:textId="48C1B580" w:rsidR="00E57EDA" w:rsidRPr="00E57EDA" w:rsidRDefault="00E57EDA" w:rsidP="00C26763">
            <w:pPr>
              <w:spacing w:after="0"/>
              <w:ind w:firstLine="0"/>
              <w:contextualSpacing/>
              <w:rPr>
                <w:b/>
              </w:rPr>
            </w:pPr>
            <w:r>
              <w:rPr>
                <w:noProof/>
                <w:lang w:val="en-US"/>
              </w:rPr>
              <w:drawing>
                <wp:inline distT="0" distB="0" distL="0" distR="0" wp14:anchorId="4A5CDE78" wp14:editId="67CF7BCE">
                  <wp:extent cx="1009650" cy="958850"/>
                  <wp:effectExtent l="0" t="0" r="635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958850"/>
                          </a:xfrm>
                          <a:prstGeom prst="rect">
                            <a:avLst/>
                          </a:prstGeom>
                          <a:noFill/>
                          <a:ln>
                            <a:noFill/>
                          </a:ln>
                        </pic:spPr>
                      </pic:pic>
                    </a:graphicData>
                  </a:graphic>
                </wp:inline>
              </w:drawing>
            </w:r>
          </w:p>
          <w:p w14:paraId="680915E5" w14:textId="1DCD825A" w:rsidR="00E57EDA" w:rsidRPr="00495E02" w:rsidRDefault="00E57EDA" w:rsidP="00C26763">
            <w:pPr>
              <w:spacing w:after="0"/>
              <w:ind w:firstLine="0"/>
              <w:contextualSpacing/>
            </w:pPr>
          </w:p>
        </w:tc>
        <w:tc>
          <w:tcPr>
            <w:tcW w:w="3118" w:type="dxa"/>
            <w:tcBorders>
              <w:left w:val="nil"/>
            </w:tcBorders>
            <w:hideMark/>
          </w:tcPr>
          <w:p w14:paraId="0D4B0875" w14:textId="002FDC49" w:rsidR="00E57EDA" w:rsidRPr="005E1190" w:rsidRDefault="00E57EDA" w:rsidP="00E57EDA">
            <w:pPr>
              <w:spacing w:after="0"/>
              <w:ind w:firstLine="0"/>
              <w:contextualSpacing/>
              <w:jc w:val="left"/>
              <w:rPr>
                <w:rFonts w:ascii="Courier New" w:hAnsi="Courier New" w:cs="Courier New"/>
                <w:sz w:val="14"/>
                <w:szCs w:val="18"/>
              </w:rPr>
            </w:pPr>
            <w:r>
              <w:rPr>
                <w:rFonts w:ascii="Courier New" w:hAnsi="Courier New" w:cs="Courier New"/>
                <w:b/>
                <w:sz w:val="14"/>
                <w:szCs w:val="18"/>
              </w:rPr>
              <w:t>LineSegment</w:t>
            </w:r>
            <w:r>
              <w:rPr>
                <w:rFonts w:ascii="Courier New" w:hAnsi="Courier New" w:cs="Courier New"/>
                <w:b/>
                <w:sz w:val="14"/>
                <w:szCs w:val="18"/>
              </w:rPr>
              <w:br/>
            </w:r>
            <w:r w:rsidRPr="00791ADF">
              <w:rPr>
                <w:rFonts w:ascii="Courier New" w:hAnsi="Courier New" w:cs="Courier New"/>
                <w:sz w:val="14"/>
                <w:szCs w:val="18"/>
              </w:rPr>
              <w:t>X</w:t>
            </w:r>
            <w:r w:rsidR="00387013">
              <w:rPr>
                <w:rFonts w:ascii="Courier New" w:hAnsi="Courier New" w:cs="Courier New"/>
                <w:sz w:val="14"/>
                <w:szCs w:val="18"/>
              </w:rPr>
              <w:t>1</w:t>
            </w:r>
            <w:r>
              <w:rPr>
                <w:rFonts w:ascii="Courier New" w:hAnsi="Courier New" w:cs="Courier New"/>
                <w:sz w:val="14"/>
                <w:szCs w:val="18"/>
              </w:rPr>
              <w:t xml:space="preserve"> = </w:t>
            </w:r>
            <w:r w:rsidR="00387013">
              <w:rPr>
                <w:rFonts w:ascii="Courier New" w:hAnsi="Courier New" w:cs="Courier New"/>
                <w:sz w:val="14"/>
                <w:szCs w:val="18"/>
              </w:rPr>
              <w:t>if( rowindex()==0,</w:t>
            </w:r>
            <w:r w:rsidR="005E1190">
              <w:rPr>
                <w:rFonts w:ascii="Courier New" w:hAnsi="Courier New" w:cs="Courier New"/>
                <w:sz w:val="14"/>
                <w:szCs w:val="18"/>
              </w:rPr>
              <w:br/>
              <w:t xml:space="preserve">  </w:t>
            </w:r>
            <w:r w:rsidR="00387013">
              <w:rPr>
                <w:rFonts w:ascii="Courier New" w:hAnsi="Courier New" w:cs="Courier New"/>
                <w:sz w:val="14"/>
                <w:szCs w:val="18"/>
              </w:rPr>
              <w:t>1,rowindex())</w:t>
            </w:r>
            <w:r w:rsidRPr="00791ADF">
              <w:rPr>
                <w:rFonts w:ascii="Courier New" w:hAnsi="Courier New" w:cs="Courier New"/>
                <w:sz w:val="14"/>
                <w:szCs w:val="18"/>
              </w:rPr>
              <w:br/>
            </w:r>
            <w:r w:rsidRPr="005E1190">
              <w:rPr>
                <w:rFonts w:ascii="Courier New" w:hAnsi="Courier New" w:cs="Courier New"/>
                <w:sz w:val="14"/>
                <w:szCs w:val="18"/>
              </w:rPr>
              <w:t>Y</w:t>
            </w:r>
            <w:r w:rsidR="00387013" w:rsidRPr="005E1190">
              <w:rPr>
                <w:rFonts w:ascii="Courier New" w:hAnsi="Courier New" w:cs="Courier New"/>
                <w:sz w:val="14"/>
                <w:szCs w:val="18"/>
              </w:rPr>
              <w:t>1</w:t>
            </w:r>
            <w:r w:rsidRPr="005E1190">
              <w:rPr>
                <w:rFonts w:ascii="Courier New" w:hAnsi="Courier New" w:cs="Courier New"/>
                <w:sz w:val="14"/>
                <w:szCs w:val="18"/>
              </w:rPr>
              <w:t xml:space="preserve"> = </w:t>
            </w:r>
            <w:r w:rsidR="00387013" w:rsidRPr="005E1190">
              <w:rPr>
                <w:rFonts w:ascii="Courier New" w:hAnsi="Courier New" w:cs="Courier New"/>
                <w:sz w:val="14"/>
                <w:szCs w:val="18"/>
              </w:rPr>
              <w:t>if( rowindex()==0,</w:t>
            </w:r>
            <w:r w:rsidR="005E1190">
              <w:rPr>
                <w:rFonts w:ascii="Courier New" w:hAnsi="Courier New" w:cs="Courier New"/>
                <w:sz w:val="14"/>
                <w:szCs w:val="18"/>
              </w:rPr>
              <w:br/>
              <w:t xml:space="preserve">  </w:t>
            </w:r>
            <w:r w:rsidR="00387013" w:rsidRPr="005E1190">
              <w:rPr>
                <w:rFonts w:ascii="Courier New" w:hAnsi="Courier New" w:cs="Courier New"/>
                <w:sz w:val="14"/>
                <w:szCs w:val="18"/>
              </w:rPr>
              <w:t>B2,previous(B2))</w:t>
            </w:r>
          </w:p>
          <w:p w14:paraId="61B4DF35" w14:textId="62CF424A" w:rsidR="00387013" w:rsidRPr="005E1190" w:rsidRDefault="00387013" w:rsidP="00E57EDA">
            <w:pPr>
              <w:spacing w:after="0"/>
              <w:ind w:firstLine="0"/>
              <w:contextualSpacing/>
              <w:jc w:val="left"/>
              <w:rPr>
                <w:rFonts w:ascii="Courier New" w:hAnsi="Courier New" w:cs="Courier New"/>
                <w:sz w:val="14"/>
                <w:szCs w:val="18"/>
              </w:rPr>
            </w:pPr>
            <w:r w:rsidRPr="005E1190">
              <w:rPr>
                <w:rFonts w:ascii="Courier New" w:hAnsi="Courier New" w:cs="Courier New"/>
                <w:sz w:val="14"/>
                <w:szCs w:val="18"/>
              </w:rPr>
              <w:t>X2 = if(rowindex()==0,</w:t>
            </w:r>
            <w:r w:rsidR="005E1190">
              <w:rPr>
                <w:rFonts w:ascii="Courier New" w:hAnsi="Courier New" w:cs="Courier New"/>
                <w:sz w:val="14"/>
                <w:szCs w:val="18"/>
              </w:rPr>
              <w:br/>
              <w:t xml:space="preserve">  </w:t>
            </w:r>
            <w:r w:rsidRPr="005E1190">
              <w:rPr>
                <w:rFonts w:ascii="Courier New" w:hAnsi="Courier New" w:cs="Courier New"/>
                <w:sz w:val="14"/>
                <w:szCs w:val="18"/>
              </w:rPr>
              <w:t>1,1+ rowindex())</w:t>
            </w:r>
          </w:p>
          <w:p w14:paraId="6CB939C5" w14:textId="44DABDAE" w:rsidR="00387013" w:rsidRPr="005E1190" w:rsidRDefault="00387013" w:rsidP="00E57EDA">
            <w:pPr>
              <w:spacing w:after="0"/>
              <w:ind w:firstLine="0"/>
              <w:contextualSpacing/>
              <w:jc w:val="left"/>
              <w:rPr>
                <w:rFonts w:ascii="Courier New" w:hAnsi="Courier New" w:cs="Courier New"/>
                <w:sz w:val="14"/>
                <w:szCs w:val="18"/>
              </w:rPr>
            </w:pPr>
            <w:r w:rsidRPr="005E1190">
              <w:rPr>
                <w:rFonts w:ascii="Courier New" w:hAnsi="Courier New" w:cs="Courier New"/>
                <w:sz w:val="14"/>
                <w:szCs w:val="18"/>
              </w:rPr>
              <w:t>Y2</w:t>
            </w:r>
            <w:r w:rsidR="00BF09A0" w:rsidRPr="005E1190">
              <w:rPr>
                <w:rFonts w:ascii="Courier New" w:hAnsi="Courier New" w:cs="Courier New"/>
                <w:sz w:val="14"/>
                <w:szCs w:val="18"/>
              </w:rPr>
              <w:t xml:space="preserve"> = </w:t>
            </w:r>
            <w:r w:rsidR="005E1190" w:rsidRPr="005E1190">
              <w:rPr>
                <w:rFonts w:ascii="Courier New" w:hAnsi="Courier New" w:cs="Courier New"/>
                <w:sz w:val="14"/>
                <w:szCs w:val="18"/>
              </w:rPr>
              <w:t>B2</w:t>
            </w:r>
          </w:p>
          <w:p w14:paraId="2E56E0E6" w14:textId="77777777" w:rsidR="00E57EDA" w:rsidRDefault="00E57EDA" w:rsidP="00C26763">
            <w:pPr>
              <w:spacing w:after="0"/>
              <w:ind w:firstLine="0"/>
              <w:contextualSpacing/>
              <w:rPr>
                <w:szCs w:val="18"/>
              </w:rPr>
            </w:pPr>
          </w:p>
          <w:p w14:paraId="680915E6" w14:textId="5021CA5C" w:rsidR="005E1190" w:rsidRPr="00E57EDA" w:rsidRDefault="0088758E" w:rsidP="005E1190">
            <w:pPr>
              <w:spacing w:after="0"/>
              <w:ind w:firstLine="0"/>
              <w:contextualSpacing/>
              <w:rPr>
                <w:b/>
                <w:szCs w:val="18"/>
              </w:rPr>
            </w:pPr>
            <w:r>
              <w:rPr>
                <w:szCs w:val="18"/>
              </w:rPr>
              <w:t>‘</w:t>
            </w:r>
            <w:r w:rsidR="005E1190">
              <w:rPr>
                <w:szCs w:val="18"/>
              </w:rPr>
              <w:t>Previous</w:t>
            </w:r>
            <w:r>
              <w:rPr>
                <w:szCs w:val="18"/>
              </w:rPr>
              <w:t>(cell)’</w:t>
            </w:r>
            <w:r w:rsidR="005E1190">
              <w:rPr>
                <w:szCs w:val="18"/>
              </w:rPr>
              <w:t xml:space="preserve"> retrieves the value of the cell at the previous row</w:t>
            </w:r>
            <w:r>
              <w:rPr>
                <w:szCs w:val="18"/>
              </w:rPr>
              <w:t>.</w:t>
            </w:r>
            <w:r w:rsidR="001A578E">
              <w:rPr>
                <w:szCs w:val="18"/>
              </w:rPr>
              <w:t xml:space="preserve"> Each line is assigned to its own style</w:t>
            </w:r>
          </w:p>
        </w:tc>
        <w:tc>
          <w:tcPr>
            <w:tcW w:w="2194" w:type="dxa"/>
            <w:tcBorders>
              <w:right w:val="nil"/>
            </w:tcBorders>
            <w:hideMark/>
          </w:tcPr>
          <w:p w14:paraId="1168C697" w14:textId="77034F96" w:rsidR="0033141D" w:rsidRPr="0033141D" w:rsidRDefault="0033141D" w:rsidP="00C26763">
            <w:pPr>
              <w:spacing w:after="0"/>
              <w:ind w:firstLine="0"/>
              <w:contextualSpacing/>
              <w:rPr>
                <w:b/>
                <w:szCs w:val="18"/>
              </w:rPr>
            </w:pPr>
            <w:r>
              <w:rPr>
                <w:b/>
                <w:szCs w:val="18"/>
              </w:rPr>
              <w:t>Area Chart</w:t>
            </w:r>
          </w:p>
          <w:p w14:paraId="680915E7" w14:textId="7B9750CA" w:rsidR="00E57EDA" w:rsidRPr="00380146" w:rsidRDefault="0033141D" w:rsidP="00C26763">
            <w:pPr>
              <w:spacing w:after="0"/>
              <w:ind w:firstLine="0"/>
              <w:contextualSpacing/>
              <w:rPr>
                <w:szCs w:val="18"/>
              </w:rPr>
            </w:pPr>
            <w:r>
              <w:rPr>
                <w:noProof/>
                <w:lang w:val="en-US"/>
              </w:rPr>
              <w:drawing>
                <wp:inline distT="0" distB="0" distL="0" distR="0" wp14:anchorId="4C135BC0" wp14:editId="1DB3AFB7">
                  <wp:extent cx="1016000" cy="958850"/>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00" cy="958850"/>
                          </a:xfrm>
                          <a:prstGeom prst="rect">
                            <a:avLst/>
                          </a:prstGeom>
                          <a:noFill/>
                          <a:ln>
                            <a:noFill/>
                          </a:ln>
                        </pic:spPr>
                      </pic:pic>
                    </a:graphicData>
                  </a:graphic>
                </wp:inline>
              </w:drawing>
            </w:r>
          </w:p>
        </w:tc>
        <w:tc>
          <w:tcPr>
            <w:tcW w:w="2748" w:type="dxa"/>
            <w:tcBorders>
              <w:left w:val="nil"/>
              <w:right w:val="nil"/>
            </w:tcBorders>
            <w:hideMark/>
          </w:tcPr>
          <w:p w14:paraId="0E382B91" w14:textId="77777777" w:rsidR="0033141D" w:rsidRDefault="0033141D" w:rsidP="0033141D">
            <w:pPr>
              <w:spacing w:after="0"/>
              <w:ind w:firstLine="0"/>
              <w:contextualSpacing/>
              <w:rPr>
                <w:rFonts w:ascii="Courier New" w:hAnsi="Courier New" w:cs="Courier New"/>
                <w:b/>
                <w:sz w:val="14"/>
                <w:szCs w:val="18"/>
              </w:rPr>
            </w:pPr>
            <w:r>
              <w:rPr>
                <w:rFonts w:ascii="Courier New" w:hAnsi="Courier New" w:cs="Courier New"/>
                <w:b/>
                <w:sz w:val="14"/>
                <w:szCs w:val="18"/>
              </w:rPr>
              <w:t>Area</w:t>
            </w:r>
          </w:p>
          <w:p w14:paraId="724F4B28" w14:textId="23768392" w:rsidR="001B55A4" w:rsidRPr="005E1190" w:rsidRDefault="001B55A4" w:rsidP="001B55A4">
            <w:pPr>
              <w:spacing w:after="0"/>
              <w:ind w:firstLine="0"/>
              <w:contextualSpacing/>
              <w:jc w:val="left"/>
              <w:rPr>
                <w:rFonts w:ascii="Courier New" w:hAnsi="Courier New" w:cs="Courier New"/>
                <w:sz w:val="14"/>
                <w:szCs w:val="18"/>
              </w:rPr>
            </w:pPr>
            <w:r w:rsidRPr="00791ADF">
              <w:rPr>
                <w:rFonts w:ascii="Courier New" w:hAnsi="Courier New" w:cs="Courier New"/>
                <w:sz w:val="14"/>
                <w:szCs w:val="18"/>
              </w:rPr>
              <w:t>X</w:t>
            </w:r>
            <w:r>
              <w:rPr>
                <w:rFonts w:ascii="Courier New" w:hAnsi="Courier New" w:cs="Courier New"/>
                <w:sz w:val="14"/>
                <w:szCs w:val="18"/>
              </w:rPr>
              <w:t>1 = if( rowindex()==0,</w:t>
            </w:r>
            <w:r>
              <w:rPr>
                <w:rFonts w:ascii="Courier New" w:hAnsi="Courier New" w:cs="Courier New"/>
                <w:sz w:val="14"/>
                <w:szCs w:val="18"/>
              </w:rPr>
              <w:br/>
              <w:t xml:space="preserve">  1,rowindex())</w:t>
            </w:r>
            <w:r w:rsidRPr="00791ADF">
              <w:rPr>
                <w:rFonts w:ascii="Courier New" w:hAnsi="Courier New" w:cs="Courier New"/>
                <w:sz w:val="14"/>
                <w:szCs w:val="18"/>
              </w:rPr>
              <w:br/>
            </w:r>
            <w:r>
              <w:rPr>
                <w:rFonts w:ascii="Courier New" w:hAnsi="Courier New" w:cs="Courier New"/>
                <w:sz w:val="14"/>
                <w:szCs w:val="18"/>
              </w:rPr>
              <w:t>Height</w:t>
            </w:r>
            <w:r w:rsidRPr="005E1190">
              <w:rPr>
                <w:rFonts w:ascii="Courier New" w:hAnsi="Courier New" w:cs="Courier New"/>
                <w:sz w:val="14"/>
                <w:szCs w:val="18"/>
              </w:rPr>
              <w:t>1 = if( rowindex()==0,</w:t>
            </w:r>
            <w:r>
              <w:rPr>
                <w:rFonts w:ascii="Courier New" w:hAnsi="Courier New" w:cs="Courier New"/>
                <w:sz w:val="14"/>
                <w:szCs w:val="18"/>
              </w:rPr>
              <w:br/>
              <w:t xml:space="preserve">  </w:t>
            </w:r>
            <w:r w:rsidRPr="005E1190">
              <w:rPr>
                <w:rFonts w:ascii="Courier New" w:hAnsi="Courier New" w:cs="Courier New"/>
                <w:sz w:val="14"/>
                <w:szCs w:val="18"/>
              </w:rPr>
              <w:t>B2,previous(B2))</w:t>
            </w:r>
          </w:p>
          <w:p w14:paraId="670336FD" w14:textId="2D88CBD3" w:rsidR="001B55A4" w:rsidRPr="005E1190" w:rsidRDefault="001B55A4" w:rsidP="001B55A4">
            <w:pPr>
              <w:spacing w:after="0"/>
              <w:ind w:firstLine="0"/>
              <w:contextualSpacing/>
              <w:jc w:val="left"/>
              <w:rPr>
                <w:rFonts w:ascii="Courier New" w:hAnsi="Courier New" w:cs="Courier New"/>
                <w:sz w:val="14"/>
                <w:szCs w:val="18"/>
              </w:rPr>
            </w:pPr>
            <w:r>
              <w:rPr>
                <w:rFonts w:ascii="Courier New" w:hAnsi="Courier New" w:cs="Courier New"/>
                <w:sz w:val="14"/>
                <w:szCs w:val="18"/>
              </w:rPr>
              <w:t>X2</w:t>
            </w:r>
            <w:r w:rsidRPr="005E1190">
              <w:rPr>
                <w:rFonts w:ascii="Courier New" w:hAnsi="Courier New" w:cs="Courier New"/>
                <w:sz w:val="14"/>
                <w:szCs w:val="18"/>
              </w:rPr>
              <w:t>= if(rowindex()==0,</w:t>
            </w:r>
            <w:r>
              <w:rPr>
                <w:rFonts w:ascii="Courier New" w:hAnsi="Courier New" w:cs="Courier New"/>
                <w:sz w:val="14"/>
                <w:szCs w:val="18"/>
              </w:rPr>
              <w:br/>
              <w:t xml:space="preserve">  </w:t>
            </w:r>
            <w:r w:rsidRPr="005E1190">
              <w:rPr>
                <w:rFonts w:ascii="Courier New" w:hAnsi="Courier New" w:cs="Courier New"/>
                <w:sz w:val="14"/>
                <w:szCs w:val="18"/>
              </w:rPr>
              <w:t>1,1+ rowindex())</w:t>
            </w:r>
          </w:p>
          <w:p w14:paraId="016172B0" w14:textId="43A63941" w:rsidR="001B55A4" w:rsidRPr="005E1190" w:rsidRDefault="001B55A4" w:rsidP="001B55A4">
            <w:pPr>
              <w:spacing w:after="0"/>
              <w:ind w:firstLine="0"/>
              <w:contextualSpacing/>
              <w:jc w:val="left"/>
              <w:rPr>
                <w:rFonts w:ascii="Courier New" w:hAnsi="Courier New" w:cs="Courier New"/>
                <w:sz w:val="14"/>
                <w:szCs w:val="18"/>
              </w:rPr>
            </w:pPr>
            <w:r>
              <w:rPr>
                <w:rFonts w:ascii="Courier New" w:hAnsi="Courier New" w:cs="Courier New"/>
                <w:sz w:val="14"/>
                <w:szCs w:val="18"/>
              </w:rPr>
              <w:t>Height</w:t>
            </w:r>
            <w:r w:rsidRPr="005E1190">
              <w:rPr>
                <w:rFonts w:ascii="Courier New" w:hAnsi="Courier New" w:cs="Courier New"/>
                <w:sz w:val="14"/>
                <w:szCs w:val="18"/>
              </w:rPr>
              <w:t>2 = B2</w:t>
            </w:r>
          </w:p>
          <w:p w14:paraId="114BCFEA" w14:textId="77777777" w:rsidR="00E57EDA" w:rsidRDefault="00E57EDA" w:rsidP="0033141D">
            <w:pPr>
              <w:spacing w:after="0"/>
              <w:ind w:firstLine="0"/>
              <w:contextualSpacing/>
              <w:rPr>
                <w:szCs w:val="18"/>
              </w:rPr>
            </w:pPr>
          </w:p>
          <w:p w14:paraId="680915EA" w14:textId="438ABF4B" w:rsidR="001B55A4" w:rsidRPr="00380146" w:rsidRDefault="001B55A4" w:rsidP="00A550DE">
            <w:pPr>
              <w:spacing w:after="0"/>
              <w:ind w:firstLine="0"/>
              <w:contextualSpacing/>
              <w:rPr>
                <w:szCs w:val="18"/>
              </w:rPr>
            </w:pPr>
            <w:r>
              <w:rPr>
                <w:szCs w:val="18"/>
              </w:rPr>
              <w:t xml:space="preserve">The code is </w:t>
            </w:r>
            <w:r w:rsidR="00A550DE">
              <w:rPr>
                <w:szCs w:val="18"/>
              </w:rPr>
              <w:t>simiar</w:t>
            </w:r>
            <w:r>
              <w:rPr>
                <w:szCs w:val="18"/>
              </w:rPr>
              <w:t xml:space="preserve"> to the line series, but </w:t>
            </w:r>
            <w:r w:rsidR="00732CD0">
              <w:rPr>
                <w:szCs w:val="18"/>
              </w:rPr>
              <w:t>the area mark has different parameters</w:t>
            </w:r>
          </w:p>
        </w:tc>
      </w:tr>
      <w:tr w:rsidR="00784293" w:rsidRPr="00380146" w14:paraId="680915F1" w14:textId="77777777" w:rsidTr="0089752A">
        <w:trPr>
          <w:trHeight w:val="146"/>
        </w:trPr>
        <w:tc>
          <w:tcPr>
            <w:tcW w:w="1850" w:type="dxa"/>
            <w:tcBorders>
              <w:left w:val="nil"/>
              <w:right w:val="nil"/>
            </w:tcBorders>
          </w:tcPr>
          <w:p w14:paraId="5A56540D" w14:textId="77777777" w:rsidR="00784293" w:rsidRPr="00D85E8A" w:rsidRDefault="00784293" w:rsidP="00C26763">
            <w:pPr>
              <w:spacing w:after="0"/>
              <w:ind w:firstLine="0"/>
              <w:contextualSpacing/>
              <w:rPr>
                <w:b/>
              </w:rPr>
            </w:pPr>
            <w:r w:rsidRPr="00D85E8A">
              <w:rPr>
                <w:b/>
              </w:rPr>
              <w:t>Pie</w:t>
            </w:r>
          </w:p>
          <w:p w14:paraId="5F8B1571" w14:textId="16014932" w:rsidR="00784293" w:rsidRDefault="00784293" w:rsidP="00C26763">
            <w:pPr>
              <w:spacing w:after="0"/>
              <w:ind w:firstLine="0"/>
              <w:contextualSpacing/>
            </w:pPr>
            <w:r>
              <w:rPr>
                <w:noProof/>
                <w:lang w:val="en-US"/>
              </w:rPr>
              <w:drawing>
                <wp:inline distT="0" distB="0" distL="0" distR="0" wp14:anchorId="4A61D1B0" wp14:editId="25B63491">
                  <wp:extent cx="1003300" cy="952500"/>
                  <wp:effectExtent l="0" t="0" r="12700" b="127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03300" cy="952500"/>
                          </a:xfrm>
                          <a:prstGeom prst="rect">
                            <a:avLst/>
                          </a:prstGeom>
                          <a:noFill/>
                          <a:ln>
                            <a:noFill/>
                          </a:ln>
                        </pic:spPr>
                      </pic:pic>
                    </a:graphicData>
                  </a:graphic>
                </wp:inline>
              </w:drawing>
            </w:r>
          </w:p>
          <w:p w14:paraId="680915ED" w14:textId="5A0B5A2B" w:rsidR="00784293" w:rsidRPr="003E5808" w:rsidRDefault="00784293" w:rsidP="00C26763">
            <w:pPr>
              <w:spacing w:after="0"/>
              <w:ind w:firstLine="0"/>
              <w:contextualSpacing/>
            </w:pPr>
          </w:p>
        </w:tc>
        <w:tc>
          <w:tcPr>
            <w:tcW w:w="3118" w:type="dxa"/>
            <w:tcBorders>
              <w:left w:val="nil"/>
            </w:tcBorders>
          </w:tcPr>
          <w:p w14:paraId="5824EE28" w14:textId="77777777" w:rsidR="00784293" w:rsidRDefault="00784293" w:rsidP="00D85E8A">
            <w:pPr>
              <w:spacing w:after="0"/>
              <w:ind w:firstLine="0"/>
              <w:contextualSpacing/>
              <w:jc w:val="left"/>
              <w:rPr>
                <w:rFonts w:ascii="Courier New" w:hAnsi="Courier New" w:cs="Courier New"/>
                <w:b/>
                <w:sz w:val="14"/>
                <w:szCs w:val="18"/>
              </w:rPr>
            </w:pPr>
            <w:r>
              <w:rPr>
                <w:rFonts w:ascii="Courier New" w:hAnsi="Courier New" w:cs="Courier New"/>
                <w:b/>
                <w:sz w:val="14"/>
                <w:szCs w:val="18"/>
              </w:rPr>
              <w:t>Wedge</w:t>
            </w:r>
          </w:p>
          <w:p w14:paraId="1F25EA9E" w14:textId="74AC07FF" w:rsidR="00784293" w:rsidRDefault="00784293" w:rsidP="00D85E8A">
            <w:pPr>
              <w:spacing w:after="0"/>
              <w:ind w:firstLine="0"/>
              <w:contextualSpacing/>
              <w:jc w:val="left"/>
              <w:rPr>
                <w:rFonts w:ascii="Courier New" w:hAnsi="Courier New" w:cs="Courier New"/>
                <w:sz w:val="14"/>
                <w:szCs w:val="18"/>
              </w:rPr>
            </w:pPr>
            <w:r w:rsidRPr="00D85E8A">
              <w:rPr>
                <w:rFonts w:ascii="Courier New" w:hAnsi="Courier New" w:cs="Courier New"/>
                <w:sz w:val="14"/>
                <w:szCs w:val="18"/>
              </w:rPr>
              <w:t>Angle =</w:t>
            </w:r>
            <w:r>
              <w:rPr>
                <w:rFonts w:ascii="Courier New" w:hAnsi="Courier New" w:cs="Courier New"/>
                <w:b/>
                <w:sz w:val="14"/>
                <w:szCs w:val="18"/>
              </w:rPr>
              <w:t xml:space="preserve"> </w:t>
            </w:r>
            <w:r>
              <w:rPr>
                <w:rFonts w:ascii="Courier New" w:hAnsi="Courier New" w:cs="Courier New"/>
                <w:sz w:val="14"/>
                <w:szCs w:val="18"/>
              </w:rPr>
              <w:t>360 *</w:t>
            </w:r>
            <w:r>
              <w:rPr>
                <w:rFonts w:ascii="Courier New" w:hAnsi="Courier New" w:cs="Courier New"/>
                <w:sz w:val="14"/>
                <w:szCs w:val="18"/>
              </w:rPr>
              <w:br/>
              <w:t xml:space="preserve">    A2/max(1,sum(A$2:A$6)</w:t>
            </w:r>
            <w:r>
              <w:rPr>
                <w:rFonts w:ascii="Courier New" w:hAnsi="Courier New" w:cs="Courier New"/>
                <w:b/>
                <w:sz w:val="14"/>
                <w:szCs w:val="18"/>
              </w:rPr>
              <w:br/>
            </w:r>
            <w:r>
              <w:rPr>
                <w:rFonts w:ascii="Courier New" w:hAnsi="Courier New" w:cs="Courier New"/>
                <w:sz w:val="14"/>
                <w:szCs w:val="18"/>
              </w:rPr>
              <w:t>BaseRotation = if( rowindex == 0,</w:t>
            </w:r>
            <w:r>
              <w:rPr>
                <w:rFonts w:ascii="Courier New" w:hAnsi="Courier New" w:cs="Courier New"/>
                <w:sz w:val="14"/>
                <w:szCs w:val="18"/>
              </w:rPr>
              <w:br/>
              <w:t xml:space="preserve">   0, prevShape(“Angle”) +</w:t>
            </w:r>
            <w:r>
              <w:rPr>
                <w:rFonts w:ascii="Courier New" w:hAnsi="Courier New" w:cs="Courier New"/>
                <w:sz w:val="14"/>
                <w:szCs w:val="18"/>
              </w:rPr>
              <w:br/>
              <w:t xml:space="preserve">   prevShape(“BaseRotation”))</w:t>
            </w:r>
          </w:p>
          <w:p w14:paraId="30CB85D0" w14:textId="7E7BFBF6" w:rsidR="00784293" w:rsidRDefault="00784293" w:rsidP="00D85E8A">
            <w:pPr>
              <w:spacing w:after="0"/>
              <w:ind w:firstLine="0"/>
              <w:contextualSpacing/>
              <w:jc w:val="left"/>
              <w:rPr>
                <w:rFonts w:ascii="Courier New" w:hAnsi="Courier New" w:cs="Courier New"/>
                <w:sz w:val="14"/>
                <w:szCs w:val="18"/>
              </w:rPr>
            </w:pPr>
            <w:r>
              <w:rPr>
                <w:rFonts w:ascii="Courier New" w:hAnsi="Courier New" w:cs="Courier New"/>
                <w:sz w:val="14"/>
                <w:szCs w:val="18"/>
              </w:rPr>
              <w:t xml:space="preserve">BaseRadius = </w:t>
            </w:r>
            <w:r>
              <w:rPr>
                <w:rFonts w:ascii="Courier New" w:hAnsi="Courier New" w:cs="Courier New"/>
                <w:sz w:val="14"/>
                <w:szCs w:val="18"/>
              </w:rPr>
              <w:br/>
              <w:t xml:space="preserve">   if( rowindex() == 0, 30, 0)</w:t>
            </w:r>
          </w:p>
          <w:p w14:paraId="77E37D80" w14:textId="096AB373" w:rsidR="00784293" w:rsidRPr="005E1190" w:rsidRDefault="00784293" w:rsidP="00D85E8A">
            <w:pPr>
              <w:spacing w:after="0"/>
              <w:ind w:firstLine="0"/>
              <w:contextualSpacing/>
              <w:jc w:val="left"/>
              <w:rPr>
                <w:rFonts w:ascii="Courier New" w:hAnsi="Courier New" w:cs="Courier New"/>
                <w:sz w:val="14"/>
                <w:szCs w:val="18"/>
              </w:rPr>
            </w:pPr>
            <w:r>
              <w:rPr>
                <w:rFonts w:ascii="Courier New" w:hAnsi="Courier New" w:cs="Courier New"/>
                <w:sz w:val="14"/>
                <w:szCs w:val="18"/>
              </w:rPr>
              <w:t>Opacity =</w:t>
            </w:r>
            <w:r>
              <w:rPr>
                <w:rFonts w:ascii="Courier New" w:hAnsi="Courier New" w:cs="Courier New"/>
                <w:sz w:val="14"/>
                <w:szCs w:val="18"/>
              </w:rPr>
              <w:br/>
              <w:t xml:space="preserve">   (1.0+rowIndex())/</w:t>
            </w:r>
            <w:r>
              <w:rPr>
                <w:rFonts w:ascii="Courier New" w:hAnsi="Courier New" w:cs="Courier New"/>
                <w:sz w:val="14"/>
                <w:szCs w:val="18"/>
              </w:rPr>
              <w:br/>
              <w:t xml:space="preserve">   max(1,rowCount())</w:t>
            </w:r>
            <w:r>
              <w:rPr>
                <w:rFonts w:ascii="Courier New" w:hAnsi="Courier New" w:cs="Courier New"/>
                <w:sz w:val="14"/>
                <w:szCs w:val="18"/>
              </w:rPr>
              <w:br/>
            </w:r>
            <w:r>
              <w:rPr>
                <w:rFonts w:ascii="Courier New" w:hAnsi="Courier New" w:cs="Courier New"/>
                <w:sz w:val="14"/>
                <w:szCs w:val="18"/>
              </w:rPr>
              <w:br/>
            </w:r>
            <w:r w:rsidR="00822B74">
              <w:rPr>
                <w:rFonts w:asciiTheme="majorHAnsi" w:hAnsiTheme="majorHAnsi" w:cs="Courier New"/>
                <w:szCs w:val="18"/>
              </w:rPr>
              <w:t>T</w:t>
            </w:r>
            <w:r w:rsidRPr="00784293">
              <w:rPr>
                <w:rFonts w:asciiTheme="majorHAnsi" w:hAnsiTheme="majorHAnsi" w:cs="Courier New"/>
                <w:szCs w:val="18"/>
              </w:rPr>
              <w:t xml:space="preserve">he </w:t>
            </w:r>
            <w:r w:rsidR="00822B74">
              <w:rPr>
                <w:rFonts w:asciiTheme="majorHAnsi" w:hAnsiTheme="majorHAnsi" w:cs="Courier New"/>
                <w:szCs w:val="18"/>
              </w:rPr>
              <w:t xml:space="preserve">helper </w:t>
            </w:r>
            <w:r w:rsidRPr="00784293">
              <w:rPr>
                <w:rFonts w:asciiTheme="majorHAnsi" w:hAnsiTheme="majorHAnsi" w:cs="Courier New"/>
                <w:szCs w:val="18"/>
              </w:rPr>
              <w:t xml:space="preserve">function </w:t>
            </w:r>
            <w:r w:rsidRPr="00CD6494">
              <w:rPr>
                <w:rFonts w:ascii="Courier New" w:hAnsi="Courier New" w:cs="Courier New"/>
                <w:sz w:val="16"/>
                <w:szCs w:val="18"/>
              </w:rPr>
              <w:t>prevShape</w:t>
            </w:r>
            <w:r w:rsidRPr="00784293">
              <w:rPr>
                <w:rFonts w:asciiTheme="majorHAnsi" w:hAnsiTheme="majorHAnsi" w:cs="Courier New"/>
                <w:szCs w:val="18"/>
              </w:rPr>
              <w:t xml:space="preserve"> reference</w:t>
            </w:r>
            <w:r w:rsidR="00822B74">
              <w:rPr>
                <w:rFonts w:asciiTheme="majorHAnsi" w:hAnsiTheme="majorHAnsi" w:cs="Courier New"/>
                <w:szCs w:val="18"/>
              </w:rPr>
              <w:t>s</w:t>
            </w:r>
            <w:r w:rsidRPr="00784293">
              <w:rPr>
                <w:rFonts w:asciiTheme="majorHAnsi" w:hAnsiTheme="majorHAnsi" w:cs="Courier New"/>
                <w:szCs w:val="18"/>
              </w:rPr>
              <w:t xml:space="preserve"> the formulas from the previous rows. This is similar to </w:t>
            </w:r>
            <w:r w:rsidRPr="00CD6494">
              <w:rPr>
                <w:rFonts w:ascii="Courier New" w:hAnsi="Courier New" w:cs="Courier New"/>
                <w:sz w:val="16"/>
                <w:szCs w:val="18"/>
              </w:rPr>
              <w:t>previous</w:t>
            </w:r>
            <w:r w:rsidRPr="00784293">
              <w:rPr>
                <w:rFonts w:asciiTheme="majorHAnsi" w:hAnsiTheme="majorHAnsi" w:cs="Courier New"/>
                <w:szCs w:val="18"/>
              </w:rPr>
              <w:t>, but references the formulas in the visual style instead of the cells in the spreadsheet.</w:t>
            </w:r>
          </w:p>
          <w:p w14:paraId="680915EE" w14:textId="0873462B" w:rsidR="00784293" w:rsidRPr="00380146" w:rsidRDefault="00784293" w:rsidP="00C26763">
            <w:pPr>
              <w:spacing w:after="0"/>
              <w:ind w:firstLine="0"/>
              <w:contextualSpacing/>
              <w:rPr>
                <w:szCs w:val="18"/>
              </w:rPr>
            </w:pPr>
          </w:p>
        </w:tc>
        <w:tc>
          <w:tcPr>
            <w:tcW w:w="2194" w:type="dxa"/>
            <w:tcBorders>
              <w:right w:val="nil"/>
            </w:tcBorders>
          </w:tcPr>
          <w:p w14:paraId="5BBE152A" w14:textId="3962BB4A" w:rsidR="00C171C8" w:rsidRPr="00C171C8" w:rsidRDefault="00C171C8" w:rsidP="00C26763">
            <w:pPr>
              <w:spacing w:after="0"/>
              <w:ind w:firstLine="0"/>
              <w:contextualSpacing/>
              <w:rPr>
                <w:b/>
              </w:rPr>
            </w:pPr>
            <w:r>
              <w:rPr>
                <w:b/>
              </w:rPr>
              <w:t>Donut</w:t>
            </w:r>
          </w:p>
          <w:p w14:paraId="680915EF" w14:textId="263EE126" w:rsidR="00784293" w:rsidRPr="00380146" w:rsidRDefault="00C171C8" w:rsidP="00C26763">
            <w:pPr>
              <w:spacing w:after="0"/>
              <w:ind w:firstLine="0"/>
              <w:contextualSpacing/>
              <w:rPr>
                <w:szCs w:val="18"/>
              </w:rPr>
            </w:pPr>
            <w:r>
              <w:rPr>
                <w:rFonts w:ascii="Times New Roman" w:eastAsia="Times New Roman" w:hAnsi="Times New Roman"/>
                <w:szCs w:val="20"/>
              </w:rPr>
              <w:object w:dxaOrig="1515" w:dyaOrig="1440" w14:anchorId="0B842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1in" o:ole="">
                  <v:imagedata r:id="rId32" o:title=""/>
                </v:shape>
                <o:OLEObject Type="Embed" ProgID="PBrush" ShapeID="_x0000_i1025" DrawAspect="Content" ObjectID="_1391327045" r:id="rId33"/>
              </w:object>
            </w:r>
          </w:p>
        </w:tc>
        <w:tc>
          <w:tcPr>
            <w:tcW w:w="2748" w:type="dxa"/>
            <w:tcBorders>
              <w:left w:val="nil"/>
              <w:right w:val="nil"/>
            </w:tcBorders>
          </w:tcPr>
          <w:p w14:paraId="345EF758" w14:textId="77777777" w:rsidR="00C171C8" w:rsidRDefault="00C171C8" w:rsidP="00C171C8">
            <w:pPr>
              <w:spacing w:after="0"/>
              <w:ind w:firstLine="0"/>
              <w:contextualSpacing/>
              <w:jc w:val="left"/>
              <w:rPr>
                <w:rFonts w:ascii="Courier New" w:hAnsi="Courier New" w:cs="Courier New"/>
                <w:b/>
                <w:sz w:val="14"/>
                <w:szCs w:val="18"/>
              </w:rPr>
            </w:pPr>
            <w:r>
              <w:rPr>
                <w:rFonts w:ascii="Courier New" w:hAnsi="Courier New" w:cs="Courier New"/>
                <w:b/>
                <w:sz w:val="14"/>
                <w:szCs w:val="18"/>
              </w:rPr>
              <w:t>Wedge</w:t>
            </w:r>
          </w:p>
          <w:p w14:paraId="3A43C927" w14:textId="77777777" w:rsidR="00C171C8" w:rsidRDefault="00C171C8" w:rsidP="00C171C8">
            <w:pPr>
              <w:spacing w:after="0"/>
              <w:ind w:firstLine="0"/>
              <w:contextualSpacing/>
              <w:jc w:val="left"/>
              <w:rPr>
                <w:rFonts w:ascii="Courier New" w:hAnsi="Courier New" w:cs="Courier New"/>
                <w:sz w:val="14"/>
                <w:szCs w:val="18"/>
              </w:rPr>
            </w:pPr>
            <w:r w:rsidRPr="00D85E8A">
              <w:rPr>
                <w:rFonts w:ascii="Courier New" w:hAnsi="Courier New" w:cs="Courier New"/>
                <w:sz w:val="14"/>
                <w:szCs w:val="18"/>
              </w:rPr>
              <w:t>Angle =</w:t>
            </w:r>
            <w:r>
              <w:rPr>
                <w:rFonts w:ascii="Courier New" w:hAnsi="Courier New" w:cs="Courier New"/>
                <w:b/>
                <w:sz w:val="14"/>
                <w:szCs w:val="18"/>
              </w:rPr>
              <w:t xml:space="preserve"> </w:t>
            </w:r>
            <w:r>
              <w:rPr>
                <w:rFonts w:ascii="Courier New" w:hAnsi="Courier New" w:cs="Courier New"/>
                <w:sz w:val="14"/>
                <w:szCs w:val="18"/>
              </w:rPr>
              <w:t>360 *</w:t>
            </w:r>
            <w:r>
              <w:rPr>
                <w:rFonts w:ascii="Courier New" w:hAnsi="Courier New" w:cs="Courier New"/>
                <w:sz w:val="14"/>
                <w:szCs w:val="18"/>
              </w:rPr>
              <w:br/>
              <w:t xml:space="preserve">    A2/max(1,sum(A$2:A$6)</w:t>
            </w:r>
            <w:r>
              <w:rPr>
                <w:rFonts w:ascii="Courier New" w:hAnsi="Courier New" w:cs="Courier New"/>
                <w:b/>
                <w:sz w:val="14"/>
                <w:szCs w:val="18"/>
              </w:rPr>
              <w:br/>
            </w:r>
            <w:r>
              <w:rPr>
                <w:rFonts w:ascii="Courier New" w:hAnsi="Courier New" w:cs="Courier New"/>
                <w:sz w:val="14"/>
                <w:szCs w:val="18"/>
              </w:rPr>
              <w:t>BaseRotation = if( rowindex == 0,</w:t>
            </w:r>
            <w:r>
              <w:rPr>
                <w:rFonts w:ascii="Courier New" w:hAnsi="Courier New" w:cs="Courier New"/>
                <w:sz w:val="14"/>
                <w:szCs w:val="18"/>
              </w:rPr>
              <w:br/>
              <w:t xml:space="preserve">   0, prevShape(“Angle”) +</w:t>
            </w:r>
            <w:r>
              <w:rPr>
                <w:rFonts w:ascii="Courier New" w:hAnsi="Courier New" w:cs="Courier New"/>
                <w:sz w:val="14"/>
                <w:szCs w:val="18"/>
              </w:rPr>
              <w:br/>
              <w:t xml:space="preserve">   prevShape(“BaseRotation”))</w:t>
            </w:r>
          </w:p>
          <w:p w14:paraId="68DD1884" w14:textId="77777777" w:rsidR="00784293" w:rsidRDefault="00C171C8" w:rsidP="00C171C8">
            <w:pPr>
              <w:spacing w:after="0"/>
              <w:ind w:firstLine="0"/>
              <w:contextualSpacing/>
              <w:jc w:val="left"/>
              <w:rPr>
                <w:rFonts w:ascii="Courier New" w:hAnsi="Courier New" w:cs="Courier New"/>
                <w:sz w:val="14"/>
                <w:szCs w:val="18"/>
              </w:rPr>
            </w:pPr>
            <w:r>
              <w:rPr>
                <w:rFonts w:ascii="Courier New" w:hAnsi="Courier New" w:cs="Courier New"/>
                <w:sz w:val="14"/>
                <w:szCs w:val="18"/>
              </w:rPr>
              <w:t>BaseRadius = 0</w:t>
            </w:r>
            <w:r>
              <w:rPr>
                <w:rFonts w:ascii="Courier New" w:hAnsi="Courier New" w:cs="Courier New"/>
                <w:sz w:val="14"/>
                <w:szCs w:val="18"/>
              </w:rPr>
              <w:br/>
              <w:t>InnerRadius = 40</w:t>
            </w:r>
            <w:r>
              <w:rPr>
                <w:rFonts w:ascii="Courier New" w:hAnsi="Courier New" w:cs="Courier New"/>
                <w:sz w:val="14"/>
                <w:szCs w:val="18"/>
              </w:rPr>
              <w:br/>
              <w:t>OuterRadius = 40</w:t>
            </w:r>
            <w:r>
              <w:rPr>
                <w:rFonts w:ascii="Courier New" w:hAnsi="Courier New" w:cs="Courier New"/>
                <w:sz w:val="14"/>
                <w:szCs w:val="18"/>
              </w:rPr>
              <w:br/>
              <w:t>Opacity =</w:t>
            </w:r>
            <w:r>
              <w:rPr>
                <w:rFonts w:ascii="Courier New" w:hAnsi="Courier New" w:cs="Courier New"/>
                <w:sz w:val="14"/>
                <w:szCs w:val="18"/>
              </w:rPr>
              <w:br/>
              <w:t xml:space="preserve">   (1.0+rowIndex())/</w:t>
            </w:r>
            <w:r>
              <w:rPr>
                <w:rFonts w:ascii="Courier New" w:hAnsi="Courier New" w:cs="Courier New"/>
                <w:sz w:val="14"/>
                <w:szCs w:val="18"/>
              </w:rPr>
              <w:br/>
              <w:t xml:space="preserve">   max(1,rowCount())</w:t>
            </w:r>
          </w:p>
          <w:p w14:paraId="050279B7" w14:textId="77777777" w:rsidR="005C681A" w:rsidRDefault="005C681A" w:rsidP="00C171C8">
            <w:pPr>
              <w:spacing w:after="0"/>
              <w:ind w:firstLine="0"/>
              <w:contextualSpacing/>
              <w:jc w:val="left"/>
              <w:rPr>
                <w:rFonts w:ascii="Courier New" w:hAnsi="Courier New" w:cs="Courier New"/>
                <w:sz w:val="14"/>
                <w:szCs w:val="18"/>
              </w:rPr>
            </w:pPr>
          </w:p>
          <w:p w14:paraId="680915F0" w14:textId="685B558A" w:rsidR="005C681A" w:rsidRPr="00380146" w:rsidRDefault="00CD6A39" w:rsidP="00CD6A39">
            <w:pPr>
              <w:spacing w:after="0"/>
              <w:ind w:firstLine="0"/>
              <w:contextualSpacing/>
              <w:jc w:val="left"/>
              <w:rPr>
                <w:szCs w:val="18"/>
              </w:rPr>
            </w:pPr>
            <w:r>
              <w:rPr>
                <w:szCs w:val="18"/>
              </w:rPr>
              <w:t xml:space="preserve">Like </w:t>
            </w:r>
            <w:r w:rsidR="005C681A" w:rsidRPr="005C681A">
              <w:rPr>
                <w:szCs w:val="18"/>
              </w:rPr>
              <w:t xml:space="preserve">the pie chart above, but </w:t>
            </w:r>
            <w:r>
              <w:rPr>
                <w:szCs w:val="18"/>
              </w:rPr>
              <w:t xml:space="preserve">with </w:t>
            </w:r>
            <w:r w:rsidR="005C681A" w:rsidRPr="005C681A">
              <w:rPr>
                <w:szCs w:val="18"/>
              </w:rPr>
              <w:t xml:space="preserve">an inner and outer radius </w:t>
            </w:r>
            <w:r>
              <w:rPr>
                <w:szCs w:val="18"/>
              </w:rPr>
              <w:t xml:space="preserve">defined </w:t>
            </w:r>
            <w:r w:rsidR="005C681A" w:rsidRPr="005C681A">
              <w:rPr>
                <w:szCs w:val="18"/>
              </w:rPr>
              <w:t>for each ring.</w:t>
            </w:r>
          </w:p>
        </w:tc>
      </w:tr>
      <w:tr w:rsidR="00784293" w:rsidRPr="00380146" w14:paraId="680915F8" w14:textId="77777777" w:rsidTr="0089752A">
        <w:trPr>
          <w:trHeight w:val="3313"/>
        </w:trPr>
        <w:tc>
          <w:tcPr>
            <w:tcW w:w="1850" w:type="dxa"/>
            <w:tcBorders>
              <w:left w:val="nil"/>
              <w:right w:val="nil"/>
            </w:tcBorders>
          </w:tcPr>
          <w:p w14:paraId="50B1247B" w14:textId="1BD1527E" w:rsidR="00784293" w:rsidRPr="00783CFC" w:rsidRDefault="00784293" w:rsidP="00C26763">
            <w:pPr>
              <w:spacing w:after="0"/>
              <w:ind w:firstLine="0"/>
              <w:contextualSpacing/>
              <w:rPr>
                <w:b/>
              </w:rPr>
            </w:pPr>
            <w:r w:rsidRPr="00783CFC">
              <w:rPr>
                <w:b/>
              </w:rPr>
              <w:t>Donut</w:t>
            </w:r>
          </w:p>
          <w:p w14:paraId="680915F3" w14:textId="1F30AF4C" w:rsidR="00784293" w:rsidRPr="003E5808" w:rsidRDefault="00783CFC" w:rsidP="00C26763">
            <w:pPr>
              <w:spacing w:after="0"/>
              <w:ind w:firstLine="0"/>
              <w:contextualSpacing/>
            </w:pPr>
            <w:r>
              <w:rPr>
                <w:noProof/>
                <w:lang w:val="en-US"/>
              </w:rPr>
              <w:drawing>
                <wp:inline distT="0" distB="0" distL="0" distR="0" wp14:anchorId="29C1BCAB" wp14:editId="086FBF98">
                  <wp:extent cx="1022350" cy="965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22350" cy="965200"/>
                          </a:xfrm>
                          <a:prstGeom prst="rect">
                            <a:avLst/>
                          </a:prstGeom>
                          <a:noFill/>
                          <a:ln>
                            <a:noFill/>
                          </a:ln>
                        </pic:spPr>
                      </pic:pic>
                    </a:graphicData>
                  </a:graphic>
                </wp:inline>
              </w:drawing>
            </w:r>
          </w:p>
        </w:tc>
        <w:tc>
          <w:tcPr>
            <w:tcW w:w="3118" w:type="dxa"/>
            <w:tcBorders>
              <w:left w:val="nil"/>
            </w:tcBorders>
          </w:tcPr>
          <w:p w14:paraId="527F7024" w14:textId="15107986" w:rsidR="00783CFC" w:rsidRPr="00380146" w:rsidRDefault="00783CFC" w:rsidP="00783CFC">
            <w:pPr>
              <w:spacing w:after="0"/>
              <w:ind w:firstLine="0"/>
              <w:contextualSpacing/>
              <w:rPr>
                <w:szCs w:val="18"/>
              </w:rPr>
            </w:pPr>
            <w:r>
              <w:rPr>
                <w:szCs w:val="18"/>
              </w:rPr>
              <w:t>The firs</w:t>
            </w:r>
            <w:r w:rsidRPr="00380146">
              <w:rPr>
                <w:szCs w:val="18"/>
              </w:rPr>
              <w:t>t series</w:t>
            </w:r>
            <w:r>
              <w:rPr>
                <w:szCs w:val="18"/>
              </w:rPr>
              <w:t xml:space="preserve"> is the</w:t>
            </w:r>
            <w:r w:rsidRPr="00380146">
              <w:rPr>
                <w:szCs w:val="18"/>
              </w:rPr>
              <w:t xml:space="preserve"> same as </w:t>
            </w:r>
            <w:r>
              <w:rPr>
                <w:szCs w:val="18"/>
              </w:rPr>
              <w:t xml:space="preserve">the donut chart </w:t>
            </w:r>
            <w:r w:rsidRPr="00380146">
              <w:rPr>
                <w:szCs w:val="18"/>
              </w:rPr>
              <w:t>above</w:t>
            </w:r>
            <w:r>
              <w:rPr>
                <w:szCs w:val="18"/>
              </w:rPr>
              <w:t>. The second series adds:</w:t>
            </w:r>
          </w:p>
          <w:p w14:paraId="7DFDEA1E" w14:textId="59CC2616" w:rsidR="00783CFC" w:rsidRDefault="00783CFC" w:rsidP="00783CFC">
            <w:pPr>
              <w:spacing w:after="0"/>
              <w:ind w:firstLine="0"/>
              <w:contextualSpacing/>
              <w:rPr>
                <w:szCs w:val="18"/>
              </w:rPr>
            </w:pPr>
          </w:p>
          <w:p w14:paraId="27E00FD5" w14:textId="77777777" w:rsidR="00783CFC" w:rsidRPr="00783CFC" w:rsidRDefault="00783CFC" w:rsidP="00783CFC">
            <w:pPr>
              <w:spacing w:after="0"/>
              <w:ind w:firstLine="0"/>
              <w:contextualSpacing/>
              <w:rPr>
                <w:rFonts w:ascii="Courier New" w:hAnsi="Courier New" w:cs="Courier New"/>
                <w:b/>
                <w:sz w:val="14"/>
                <w:szCs w:val="14"/>
              </w:rPr>
            </w:pPr>
            <w:r w:rsidRPr="00783CFC">
              <w:rPr>
                <w:rFonts w:ascii="Courier New" w:hAnsi="Courier New" w:cs="Courier New"/>
                <w:b/>
                <w:sz w:val="14"/>
                <w:szCs w:val="14"/>
              </w:rPr>
              <w:t>Wedge</w:t>
            </w:r>
          </w:p>
          <w:p w14:paraId="110B8753" w14:textId="4658AA84" w:rsidR="00783CFC" w:rsidRPr="00783CFC" w:rsidRDefault="00783CFC" w:rsidP="00783CFC">
            <w:pPr>
              <w:spacing w:after="0"/>
              <w:ind w:firstLine="0"/>
              <w:contextualSpacing/>
              <w:rPr>
                <w:rFonts w:ascii="Courier New" w:hAnsi="Courier New" w:cs="Courier New"/>
                <w:sz w:val="14"/>
                <w:szCs w:val="14"/>
              </w:rPr>
            </w:pPr>
            <w:r>
              <w:rPr>
                <w:rFonts w:ascii="Courier New" w:hAnsi="Courier New" w:cs="Courier New"/>
                <w:sz w:val="14"/>
                <w:szCs w:val="14"/>
              </w:rPr>
              <w:t>A</w:t>
            </w:r>
            <w:r w:rsidRPr="00783CFC">
              <w:rPr>
                <w:rFonts w:ascii="Courier New" w:hAnsi="Courier New" w:cs="Courier New"/>
                <w:sz w:val="14"/>
                <w:szCs w:val="14"/>
              </w:rPr>
              <w:t>ngle</w:t>
            </w:r>
            <w:r w:rsidR="00E9045A">
              <w:rPr>
                <w:rFonts w:ascii="Courier New" w:hAnsi="Courier New" w:cs="Courier New"/>
                <w:sz w:val="14"/>
                <w:szCs w:val="14"/>
              </w:rPr>
              <w:t xml:space="preserve"> </w:t>
            </w:r>
            <w:r w:rsidRPr="00783CFC">
              <w:rPr>
                <w:rFonts w:ascii="Courier New" w:hAnsi="Courier New" w:cs="Courier New"/>
                <w:sz w:val="14"/>
                <w:szCs w:val="14"/>
              </w:rPr>
              <w:t>=</w:t>
            </w:r>
            <w:r w:rsidR="00E9045A">
              <w:rPr>
                <w:rFonts w:ascii="Courier New" w:hAnsi="Courier New" w:cs="Courier New"/>
                <w:sz w:val="14"/>
                <w:szCs w:val="14"/>
              </w:rPr>
              <w:t xml:space="preserve"> </w:t>
            </w:r>
            <w:r w:rsidRPr="00783CFC">
              <w:rPr>
                <w:rFonts w:ascii="Courier New" w:hAnsi="Courier New" w:cs="Courier New"/>
                <w:sz w:val="14"/>
                <w:szCs w:val="14"/>
              </w:rPr>
              <w:t>360*B2/max(1,sum(B$2:B$6))</w:t>
            </w:r>
          </w:p>
          <w:p w14:paraId="02532963" w14:textId="2AF3DB87" w:rsidR="00783CFC" w:rsidRPr="00783CFC" w:rsidRDefault="00E9045A" w:rsidP="00783CFC">
            <w:pPr>
              <w:spacing w:after="0"/>
              <w:ind w:firstLine="0"/>
              <w:contextualSpacing/>
              <w:rPr>
                <w:rFonts w:ascii="Courier New" w:hAnsi="Courier New" w:cs="Courier New"/>
                <w:sz w:val="14"/>
                <w:szCs w:val="14"/>
              </w:rPr>
            </w:pPr>
            <w:r>
              <w:rPr>
                <w:rFonts w:ascii="Courier New" w:hAnsi="Courier New" w:cs="Courier New"/>
                <w:sz w:val="14"/>
                <w:szCs w:val="14"/>
              </w:rPr>
              <w:t xml:space="preserve">InnerRadius = </w:t>
            </w:r>
            <w:r w:rsidR="00783CFC" w:rsidRPr="00783CFC">
              <w:rPr>
                <w:rFonts w:ascii="Courier New" w:hAnsi="Courier New" w:cs="Courier New"/>
                <w:sz w:val="14"/>
                <w:szCs w:val="14"/>
              </w:rPr>
              <w:t>80</w:t>
            </w:r>
          </w:p>
          <w:p w14:paraId="680915F4" w14:textId="3162F930" w:rsidR="00784293" w:rsidRPr="00380146" w:rsidRDefault="00784293" w:rsidP="00C26763">
            <w:pPr>
              <w:spacing w:after="0"/>
              <w:ind w:firstLine="0"/>
              <w:contextualSpacing/>
              <w:rPr>
                <w:szCs w:val="18"/>
              </w:rPr>
            </w:pPr>
          </w:p>
        </w:tc>
        <w:tc>
          <w:tcPr>
            <w:tcW w:w="2194" w:type="dxa"/>
            <w:tcBorders>
              <w:right w:val="nil"/>
            </w:tcBorders>
          </w:tcPr>
          <w:p w14:paraId="6E59BAF7" w14:textId="251D253C" w:rsidR="003A1293" w:rsidRPr="003A1293" w:rsidRDefault="003A1293" w:rsidP="00C26763">
            <w:pPr>
              <w:spacing w:after="0"/>
              <w:ind w:firstLine="0"/>
              <w:contextualSpacing/>
              <w:rPr>
                <w:b/>
                <w:szCs w:val="18"/>
              </w:rPr>
            </w:pPr>
            <w:r>
              <w:rPr>
                <w:b/>
                <w:szCs w:val="18"/>
              </w:rPr>
              <w:t>Picture Graphi</w:t>
            </w:r>
            <w:r w:rsidR="00312A1F">
              <w:rPr>
                <w:b/>
                <w:szCs w:val="18"/>
              </w:rPr>
              <w:t>c</w:t>
            </w:r>
          </w:p>
          <w:p w14:paraId="680915F5" w14:textId="03668740" w:rsidR="00784293" w:rsidRPr="00380146" w:rsidRDefault="003A1293" w:rsidP="00C26763">
            <w:pPr>
              <w:spacing w:after="0"/>
              <w:ind w:firstLine="0"/>
              <w:contextualSpacing/>
              <w:rPr>
                <w:szCs w:val="18"/>
              </w:rPr>
            </w:pPr>
            <w:r>
              <w:rPr>
                <w:noProof/>
                <w:lang w:val="en-US"/>
              </w:rPr>
              <w:drawing>
                <wp:inline distT="0" distB="0" distL="0" distR="0" wp14:anchorId="0694FBF7" wp14:editId="1C92EF33">
                  <wp:extent cx="1003300" cy="952500"/>
                  <wp:effectExtent l="0" t="0" r="1270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3300" cy="952500"/>
                          </a:xfrm>
                          <a:prstGeom prst="rect">
                            <a:avLst/>
                          </a:prstGeom>
                          <a:noFill/>
                          <a:ln>
                            <a:noFill/>
                          </a:ln>
                        </pic:spPr>
                      </pic:pic>
                    </a:graphicData>
                  </a:graphic>
                </wp:inline>
              </w:drawing>
            </w:r>
          </w:p>
        </w:tc>
        <w:tc>
          <w:tcPr>
            <w:tcW w:w="2748" w:type="dxa"/>
            <w:tcBorders>
              <w:left w:val="nil"/>
              <w:right w:val="nil"/>
            </w:tcBorders>
          </w:tcPr>
          <w:p w14:paraId="796409C5" w14:textId="312F0532" w:rsidR="003A1293" w:rsidRDefault="003A1293" w:rsidP="003A1293">
            <w:pPr>
              <w:spacing w:after="0"/>
              <w:ind w:firstLine="0"/>
              <w:contextualSpacing/>
              <w:rPr>
                <w:rFonts w:ascii="Courier New" w:hAnsi="Courier New" w:cs="Courier New"/>
                <w:b/>
                <w:sz w:val="14"/>
                <w:szCs w:val="14"/>
              </w:rPr>
            </w:pPr>
            <w:r>
              <w:rPr>
                <w:rFonts w:ascii="Courier New" w:hAnsi="Courier New" w:cs="Courier New"/>
                <w:b/>
                <w:sz w:val="14"/>
                <w:szCs w:val="14"/>
              </w:rPr>
              <w:t>Image</w:t>
            </w:r>
          </w:p>
          <w:p w14:paraId="73E71585" w14:textId="36ED5169" w:rsidR="003A1293" w:rsidRPr="00B05AAD" w:rsidRDefault="003A1293" w:rsidP="003A1293">
            <w:pPr>
              <w:spacing w:after="0"/>
              <w:ind w:firstLine="0"/>
              <w:contextualSpacing/>
              <w:jc w:val="left"/>
              <w:rPr>
                <w:rFonts w:ascii="Courier New" w:hAnsi="Courier New" w:cs="Courier New"/>
                <w:sz w:val="14"/>
                <w:szCs w:val="14"/>
              </w:rPr>
            </w:pPr>
            <w:r w:rsidRPr="00B05AAD">
              <w:rPr>
                <w:rFonts w:ascii="Courier New" w:hAnsi="Courier New" w:cs="Courier New"/>
                <w:sz w:val="14"/>
                <w:szCs w:val="14"/>
              </w:rPr>
              <w:t>X = 50 + count(A$2:A2, A2)*25 {L}</w:t>
            </w:r>
            <w:r w:rsidRPr="00B05AAD">
              <w:rPr>
                <w:rFonts w:ascii="Courier New" w:hAnsi="Courier New" w:cs="Courier New"/>
                <w:sz w:val="14"/>
                <w:szCs w:val="14"/>
              </w:rPr>
              <w:br/>
              <w:t>Y = 280-(25*(A2-1))</w:t>
            </w:r>
          </w:p>
          <w:p w14:paraId="49590382" w14:textId="77777777" w:rsidR="003A1293" w:rsidRPr="00B05AAD" w:rsidRDefault="003A1293" w:rsidP="003A1293">
            <w:pPr>
              <w:spacing w:after="0"/>
              <w:ind w:firstLine="0"/>
              <w:contextualSpacing/>
              <w:jc w:val="left"/>
              <w:rPr>
                <w:rFonts w:ascii="Courier New" w:hAnsi="Courier New" w:cs="Courier New"/>
                <w:sz w:val="14"/>
                <w:szCs w:val="14"/>
              </w:rPr>
            </w:pPr>
            <w:r w:rsidRPr="00B05AAD">
              <w:rPr>
                <w:rFonts w:ascii="Courier New" w:hAnsi="Courier New" w:cs="Courier New"/>
                <w:sz w:val="14"/>
                <w:szCs w:val="14"/>
              </w:rPr>
              <w:t>Width = 20</w:t>
            </w:r>
          </w:p>
          <w:p w14:paraId="76E86E4F" w14:textId="77777777" w:rsidR="003A1293" w:rsidRPr="00B05AAD" w:rsidRDefault="003A1293" w:rsidP="003A1293">
            <w:pPr>
              <w:spacing w:after="0"/>
              <w:ind w:firstLine="0"/>
              <w:contextualSpacing/>
              <w:jc w:val="left"/>
              <w:rPr>
                <w:rFonts w:ascii="Courier New" w:hAnsi="Courier New" w:cs="Courier New"/>
                <w:sz w:val="14"/>
                <w:szCs w:val="14"/>
              </w:rPr>
            </w:pPr>
            <w:r w:rsidRPr="00B05AAD">
              <w:rPr>
                <w:rFonts w:ascii="Courier New" w:hAnsi="Courier New" w:cs="Courier New"/>
                <w:sz w:val="14"/>
                <w:szCs w:val="14"/>
              </w:rPr>
              <w:t>Height = 20</w:t>
            </w:r>
          </w:p>
          <w:p w14:paraId="2C095BF1" w14:textId="77777777" w:rsidR="003A1293" w:rsidRPr="00B05AAD" w:rsidRDefault="003A1293" w:rsidP="003A1293">
            <w:pPr>
              <w:spacing w:after="0"/>
              <w:ind w:firstLine="0"/>
              <w:contextualSpacing/>
              <w:jc w:val="left"/>
              <w:rPr>
                <w:rFonts w:ascii="Courier New" w:hAnsi="Courier New" w:cs="Courier New"/>
                <w:sz w:val="14"/>
                <w:szCs w:val="14"/>
              </w:rPr>
            </w:pPr>
            <w:r w:rsidRPr="00B05AAD">
              <w:rPr>
                <w:rFonts w:ascii="Courier New" w:hAnsi="Courier New" w:cs="Courier New"/>
                <w:sz w:val="14"/>
                <w:szCs w:val="14"/>
              </w:rPr>
              <w:t>FileName = Images.Whitebody.png</w:t>
            </w:r>
          </w:p>
          <w:p w14:paraId="21089CA6" w14:textId="51A718B9" w:rsidR="003A1293" w:rsidRPr="00B05AAD" w:rsidRDefault="003A1293" w:rsidP="003A1293">
            <w:pPr>
              <w:spacing w:after="0"/>
              <w:ind w:firstLine="0"/>
              <w:contextualSpacing/>
              <w:jc w:val="left"/>
              <w:rPr>
                <w:rFonts w:ascii="Courier New" w:hAnsi="Courier New" w:cs="Courier New"/>
                <w:sz w:val="14"/>
                <w:szCs w:val="14"/>
              </w:rPr>
            </w:pPr>
            <w:r w:rsidRPr="00B05AAD">
              <w:rPr>
                <w:rFonts w:ascii="Courier New" w:hAnsi="Courier New" w:cs="Courier New"/>
                <w:sz w:val="14"/>
                <w:szCs w:val="14"/>
              </w:rPr>
              <w:t>Color = if (B2==’sick’, ‘green’, if(B2==’vacation’, red’, ‘blue’))</w:t>
            </w:r>
          </w:p>
          <w:p w14:paraId="46AA881F" w14:textId="77777777" w:rsidR="003A1293" w:rsidRDefault="003A1293" w:rsidP="00C26763">
            <w:pPr>
              <w:spacing w:after="0"/>
              <w:ind w:firstLine="0"/>
              <w:contextualSpacing/>
              <w:rPr>
                <w:szCs w:val="18"/>
              </w:rPr>
            </w:pPr>
          </w:p>
          <w:p w14:paraId="680915F7" w14:textId="5FA7E289" w:rsidR="00784293" w:rsidRPr="00380146" w:rsidRDefault="003A1293" w:rsidP="00C26763">
            <w:pPr>
              <w:spacing w:after="0"/>
              <w:ind w:firstLine="0"/>
              <w:contextualSpacing/>
              <w:rPr>
                <w:szCs w:val="18"/>
              </w:rPr>
            </w:pPr>
            <w:r w:rsidRPr="003A1293">
              <w:rPr>
                <w:szCs w:val="18"/>
              </w:rPr>
              <w:t>A non-standard chart that uses colored icons to represent time away from work (green for sick, red for vacation, and blue for business trip).</w:t>
            </w:r>
          </w:p>
        </w:tc>
      </w:tr>
    </w:tbl>
    <w:p w14:paraId="68091621" w14:textId="77777777" w:rsidR="002F639B" w:rsidRDefault="002F639B" w:rsidP="009A5354">
      <w:pPr>
        <w:pStyle w:val="BodyTextIndent0"/>
        <w:sectPr w:rsidR="002F639B" w:rsidSect="002F639B">
          <w:type w:val="continuous"/>
          <w:pgSz w:w="11907" w:h="16840" w:code="9"/>
          <w:pgMar w:top="1411" w:right="1080" w:bottom="1411" w:left="1080" w:header="490" w:footer="432" w:gutter="0"/>
          <w:cols w:space="245"/>
          <w:titlePg/>
          <w:docGrid w:linePitch="360"/>
        </w:sectPr>
      </w:pPr>
    </w:p>
    <w:p w14:paraId="68091622" w14:textId="77777777" w:rsidR="002F639B" w:rsidRDefault="002F639B" w:rsidP="009A5354">
      <w:pPr>
        <w:pStyle w:val="BodyTextIndent0"/>
      </w:pPr>
    </w:p>
    <w:p w14:paraId="68FC7DA6" w14:textId="3F7BAC4B" w:rsidR="009E18FF" w:rsidRDefault="009E18FF" w:rsidP="00FB2202">
      <w:pPr>
        <w:pStyle w:val="BodyTextIndent0"/>
      </w:pPr>
      <w:r>
        <w:lastRenderedPageBreak/>
        <w:t>The system is flexible enough to create a wide variety of vi</w:t>
      </w:r>
      <w:r>
        <w:t>s</w:t>
      </w:r>
      <w:r>
        <w:t>ualization types. In Figures 8 and 9, we show three different visualizations that are not common today.</w:t>
      </w:r>
    </w:p>
    <w:p w14:paraId="68091624" w14:textId="14E6AEB4" w:rsidR="002F639B" w:rsidRDefault="009E18FF" w:rsidP="00FB2202">
      <w:pPr>
        <w:pStyle w:val="BodyTextIndent0"/>
      </w:pPr>
      <w:r>
        <w:t xml:space="preserve">In Figure 8, we </w:t>
      </w:r>
      <w:r w:rsidR="00FB2202">
        <w:t>implement parallel coordinates</w:t>
      </w:r>
      <w:r w:rsidR="002F639B">
        <w:t>.</w:t>
      </w:r>
      <w:r w:rsidR="00091D61">
        <w:t xml:space="preserve"> </w:t>
      </w:r>
      <w:r w:rsidR="002F639B">
        <w:t xml:space="preserve">While it is straightforward to create a parallel coordinate diagram with a fixed number of coordinates, </w:t>
      </w:r>
      <w:r w:rsidR="00FB2202">
        <w:t>the core techniques of spreadsheet languages do not have the notion of relative placement needed to compute which column we are in. In Figure 8, we have i</w:t>
      </w:r>
      <w:r w:rsidR="00FB2202">
        <w:t>m</w:t>
      </w:r>
      <w:r w:rsidR="00FB2202">
        <w:t xml:space="preserve">plemented parallel coordinates without the functions in Table 2: that is, by simply hard-coding precisely three different sets of lines. In order to generalize </w:t>
      </w:r>
      <w:r w:rsidR="002F639B">
        <w:t>to an arbitrary number of columns</w:t>
      </w:r>
      <w:r w:rsidR="00FB2202">
        <w:t xml:space="preserve">, we use the </w:t>
      </w:r>
      <w:r w:rsidR="00405D45">
        <w:t xml:space="preserve">helper formulas </w:t>
      </w:r>
      <w:proofErr w:type="spellStart"/>
      <w:proofErr w:type="gramStart"/>
      <w:r w:rsidR="002F639B">
        <w:t>seriesIndex</w:t>
      </w:r>
      <w:proofErr w:type="spellEnd"/>
      <w:r w:rsidR="002F639B">
        <w:t>(</w:t>
      </w:r>
      <w:proofErr w:type="gramEnd"/>
      <w:r w:rsidR="002F639B">
        <w:t xml:space="preserve">), </w:t>
      </w:r>
      <w:proofErr w:type="spellStart"/>
      <w:r w:rsidR="002F639B">
        <w:t>seriesCount</w:t>
      </w:r>
      <w:proofErr w:type="spellEnd"/>
      <w:r w:rsidR="002F639B">
        <w:t xml:space="preserve">() and </w:t>
      </w:r>
      <w:proofErr w:type="spellStart"/>
      <w:r w:rsidR="002F639B">
        <w:t>currentColumn</w:t>
      </w:r>
      <w:proofErr w:type="spellEnd"/>
      <w:r w:rsidR="002F639B">
        <w:t>()</w:t>
      </w:r>
      <w:r w:rsidR="00FB2202">
        <w:t xml:space="preserve"> discussed above</w:t>
      </w:r>
      <w:r w:rsidR="002F639B">
        <w:t>.</w:t>
      </w:r>
    </w:p>
    <w:p w14:paraId="68091625" w14:textId="64913D07" w:rsidR="002F639B" w:rsidRDefault="002F639B" w:rsidP="009A5354">
      <w:pPr>
        <w:pStyle w:val="BodyTextIndent0"/>
      </w:pPr>
      <w:r w:rsidRPr="00D57D4C">
        <w:t>Figure 9</w:t>
      </w:r>
      <w:r>
        <w:t>a</w:t>
      </w:r>
      <w:r w:rsidRPr="00D57D4C">
        <w:t xml:space="preserve"> shows a “hi-lo/open-close” stock chart. </w:t>
      </w:r>
      <w:r>
        <w:t>This chart</w:t>
      </w:r>
      <w:r w:rsidRPr="00D57D4C">
        <w:t xml:space="preserve"> represent, in miniature, a stock’s trajectory through a time per</w:t>
      </w:r>
      <w:r w:rsidRPr="00D57D4C">
        <w:t>i</w:t>
      </w:r>
      <w:r w:rsidRPr="00D57D4C">
        <w:t>od: the ticks on the left and right indicate the opening and clo</w:t>
      </w:r>
      <w:r w:rsidRPr="00D57D4C">
        <w:t>s</w:t>
      </w:r>
      <w:r w:rsidRPr="00D57D4C">
        <w:t xml:space="preserve">ing values, while the bar runs from the low value of the day to the high. The chart is constructed </w:t>
      </w:r>
      <w:r>
        <w:t xml:space="preserve">using a visual style that maps four columns of data onto three “Box” shapes. This is a good example showing how multiple primitive shapes can all be mapped within a single visual style to the input data. </w:t>
      </w:r>
    </w:p>
    <w:p w14:paraId="68091626" w14:textId="6AE90582" w:rsidR="002F639B" w:rsidRDefault="002F639B" w:rsidP="009A5354">
      <w:pPr>
        <w:pStyle w:val="BodyTextIndent0"/>
      </w:pPr>
      <w:r>
        <w:t xml:space="preserve">Figure 9b shows a radial visualization that connects countries that have been laid out on a circle. </w:t>
      </w:r>
    </w:p>
    <w:p w14:paraId="45C93FEC" w14:textId="086B4566" w:rsidR="00C342C8" w:rsidRDefault="00C342C8" w:rsidP="009D3DB8">
      <w:pPr>
        <w:pStyle w:val="Heading1"/>
      </w:pPr>
      <w:r>
        <w:t>Implementation Status</w:t>
      </w:r>
    </w:p>
    <w:p w14:paraId="650DF13C" w14:textId="7FE9101E" w:rsidR="00C342C8" w:rsidRDefault="003A558F" w:rsidP="00687929">
      <w:pPr>
        <w:pStyle w:val="BodyTextNoIndent"/>
      </w:pPr>
      <w:r>
        <w:t xml:space="preserve">Vis-à-vis </w:t>
      </w:r>
      <w:r w:rsidR="00C342C8">
        <w:t>is currently implemented as a prototype. It implements a basic spreadsheet, with a robust formula vocabulary</w:t>
      </w:r>
      <w:r w:rsidR="009F2F1D">
        <w:t xml:space="preserve"> and a </w:t>
      </w:r>
      <w:r w:rsidR="00D922A9">
        <w:t xml:space="preserve">dependency graph of formulas. </w:t>
      </w:r>
      <w:r w:rsidR="00F35C4E">
        <w:t xml:space="preserve">The current prototype is not currently intended to scale to massive size datasets; it is an output tool for information-worker tasks. </w:t>
      </w:r>
      <w:r w:rsidR="002D5E0F">
        <w:t xml:space="preserve">As a result, performance has not been an issue; in our tests placing up to a few hundred objects with as many formulae and attributes, it runs at interactive speeds. </w:t>
      </w:r>
    </w:p>
    <w:p w14:paraId="6809164B" w14:textId="155F7AD3" w:rsidR="002F639B" w:rsidRDefault="002F639B" w:rsidP="00BA046B">
      <w:pPr>
        <w:pStyle w:val="Heading1"/>
      </w:pPr>
      <w:r>
        <w:lastRenderedPageBreak/>
        <w:t>Preliminary Study</w:t>
      </w:r>
      <w:r w:rsidR="00ED2546" w:rsidRPr="00ED2546">
        <w:rPr>
          <w:noProof/>
        </w:rPr>
        <w:t xml:space="preserve"> </w:t>
      </w:r>
    </w:p>
    <w:p w14:paraId="6809164C" w14:textId="1ECB3F68" w:rsidR="002F639B" w:rsidRPr="00D57D4C" w:rsidRDefault="0049383B" w:rsidP="009D3DB8">
      <w:pPr>
        <w:pStyle w:val="BodyTextNoIndent"/>
      </w:pPr>
      <w:r>
        <w:t xml:space="preserve">To validate our design, we wanted to understand whether </w:t>
      </w:r>
      <w:r w:rsidR="0004066C">
        <w:t xml:space="preserve">creating visualizaitons within a </w:t>
      </w:r>
      <w:r>
        <w:t>spreadsheet paradigm made sense to users</w:t>
      </w:r>
      <w:r w:rsidR="003A20E1">
        <w:t xml:space="preserve"> who were already familiar with spreadsheets, but not with creating custom visualizations</w:t>
      </w:r>
      <w:r>
        <w:t xml:space="preserve">. </w:t>
      </w:r>
      <w:r w:rsidR="00186C64">
        <w:t>We carried out a preliminary study to examine these questions.</w:t>
      </w:r>
    </w:p>
    <w:p w14:paraId="72A421B1" w14:textId="08BA5264" w:rsidR="00091895" w:rsidRDefault="00E34CE2" w:rsidP="009A5354">
      <w:pPr>
        <w:pStyle w:val="BodyTextIndent0"/>
      </w:pPr>
      <w:r>
        <w:rPr>
          <w:noProof/>
        </w:rPr>
        <mc:AlternateContent>
          <mc:Choice Requires="wps">
            <w:drawing>
              <wp:anchor distT="0" distB="0" distL="114300" distR="114300" simplePos="0" relativeHeight="251671552" behindDoc="0" locked="0" layoutInCell="1" allowOverlap="1" wp14:anchorId="6A3BF35C" wp14:editId="49BC7F98">
                <wp:simplePos x="614045" y="3616960"/>
                <wp:positionH relativeFrom="margin">
                  <wp:align>left</wp:align>
                </wp:positionH>
                <wp:positionV relativeFrom="margin">
                  <wp:align>top</wp:align>
                </wp:positionV>
                <wp:extent cx="3145155" cy="1876425"/>
                <wp:effectExtent l="0" t="0" r="0" b="9525"/>
                <wp:wrapSquare wrapText="bothSides"/>
                <wp:docPr id="8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876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B7937D" w14:textId="77777777" w:rsidR="003C72FA" w:rsidRDefault="003C72FA" w:rsidP="00E34CE2">
                            <w:pPr>
                              <w:pStyle w:val="BodyTextNoIndent"/>
                            </w:pPr>
                            <w:r>
                              <w:rPr>
                                <w:noProof/>
                                <w:lang w:val="en-US"/>
                              </w:rPr>
                              <w:drawing>
                                <wp:inline distT="0" distB="0" distL="0" distR="0" wp14:anchorId="1C52EA3D" wp14:editId="33F0E5A0">
                                  <wp:extent cx="2946400" cy="1625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46400" cy="1625600"/>
                                          </a:xfrm>
                                          <a:prstGeom prst="rect">
                                            <a:avLst/>
                                          </a:prstGeom>
                                          <a:noFill/>
                                          <a:ln>
                                            <a:noFill/>
                                          </a:ln>
                                        </pic:spPr>
                                      </pic:pic>
                                    </a:graphicData>
                                  </a:graphic>
                                </wp:inline>
                              </w:drawing>
                            </w:r>
                          </w:p>
                          <w:p w14:paraId="51A200F8" w14:textId="77777777" w:rsidR="003C72FA" w:rsidRPr="00D57D4C" w:rsidRDefault="003C72FA" w:rsidP="00E34CE2">
                            <w:pPr>
                              <w:pStyle w:val="FigureCaption"/>
                            </w:pPr>
                            <w:r w:rsidRPr="00D57D4C">
                              <w:t>Figure 8: Parallel coordinates implemented in Vis-à-vis</w:t>
                            </w:r>
                          </w:p>
                          <w:p w14:paraId="4F0C0CC6" w14:textId="77777777" w:rsidR="003C72FA" w:rsidRDefault="003C72FA" w:rsidP="00E34C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7" o:spid="_x0000_s1033" type="#_x0000_t202" style="position:absolute;left:0;text-align:left;margin-left:0;margin-top:0;width:247.65pt;height:147.75pt;z-index:251671552;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" stroked="f">
                <v:textbox>
                  <w:txbxContent>
                    <w:p w14:paraId="44B7937D" w14:textId="77777777" w:rsidR="003C72FA" w:rsidRDefault="003C72FA" w:rsidP="00E34CE2">
                      <w:pPr>
                        <w:pStyle w:val="BodyTextNoIndent"/>
                      </w:pPr>
                      <w:r>
                        <w:rPr>
                          <w:noProof/>
                          <w:lang w:val="en-US"/>
                        </w:rPr>
                        <w:drawing>
                          <wp:inline distT="0" distB="0" distL="0" distR="0" wp14:anchorId="1C52EA3D" wp14:editId="33F0E5A0">
                            <wp:extent cx="2946400" cy="1625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46400" cy="1625600"/>
                                    </a:xfrm>
                                    <a:prstGeom prst="rect">
                                      <a:avLst/>
                                    </a:prstGeom>
                                    <a:noFill/>
                                    <a:ln>
                                      <a:noFill/>
                                    </a:ln>
                                  </pic:spPr>
                                </pic:pic>
                              </a:graphicData>
                            </a:graphic>
                          </wp:inline>
                        </w:drawing>
                      </w:r>
                    </w:p>
                    <w:p w14:paraId="51A200F8" w14:textId="77777777" w:rsidR="003C72FA" w:rsidRPr="00D57D4C" w:rsidRDefault="003C72FA" w:rsidP="00E34CE2">
                      <w:pPr>
                        <w:pStyle w:val="FigureCaption"/>
                      </w:pPr>
                      <w:r w:rsidRPr="00D57D4C">
                        <w:t>Figure 8: Parallel coordinates implemented in Vis-à-vis</w:t>
                      </w:r>
                    </w:p>
                    <w:p w14:paraId="4F0C0CC6" w14:textId="77777777" w:rsidR="003C72FA" w:rsidRDefault="003C72FA" w:rsidP="00E34CE2"/>
                  </w:txbxContent>
                </v:textbox>
                <w10:wrap type="square" anchorx="margin" anchory="margin"/>
              </v:shape>
            </w:pict>
          </mc:Fallback>
        </mc:AlternateContent>
      </w:r>
      <w:r w:rsidR="002F639B" w:rsidRPr="00D57D4C">
        <w:t>The user study consisted of four stages in order of increasing complexity. Each of the first three stages introduced capabil</w:t>
      </w:r>
      <w:r w:rsidR="002F639B" w:rsidRPr="00D57D4C">
        <w:t>i</w:t>
      </w:r>
      <w:r w:rsidR="002F639B" w:rsidRPr="00D57D4C">
        <w:t>ties of the system to users while they worked on solving a pro</w:t>
      </w:r>
      <w:r w:rsidR="002F639B" w:rsidRPr="00D57D4C">
        <w:t>b</w:t>
      </w:r>
      <w:r w:rsidR="002F639B" w:rsidRPr="00D57D4C">
        <w:t xml:space="preserve">lem, and built on the techniques taught in the previous stage. In the final stage, users built </w:t>
      </w:r>
      <w:proofErr w:type="gramStart"/>
      <w:r w:rsidR="002F639B" w:rsidRPr="00D57D4C">
        <w:t>a visualization</w:t>
      </w:r>
      <w:proofErr w:type="gramEnd"/>
      <w:r w:rsidR="002F639B" w:rsidRPr="00D57D4C">
        <w:t xml:space="preserve"> without guidance. </w:t>
      </w:r>
      <w:r w:rsidR="002F639B">
        <w:t>The stages roughly followed section 3.4 above</w:t>
      </w:r>
      <w:r w:rsidR="002F61D5">
        <w:t xml:space="preserve">: participants built </w:t>
      </w:r>
      <w:proofErr w:type="gramStart"/>
      <w:r w:rsidR="002F639B">
        <w:t>a visualization</w:t>
      </w:r>
      <w:proofErr w:type="gramEnd"/>
      <w:r w:rsidR="002F639B">
        <w:t xml:space="preserve"> from scratch by adding a rectangle to the canvas, binding data to the rectangle, defining styles, </w:t>
      </w:r>
      <w:r w:rsidR="002F61D5">
        <w:t xml:space="preserve">and </w:t>
      </w:r>
      <w:r w:rsidR="002F639B">
        <w:t>applying styles to multiple rows</w:t>
      </w:r>
      <w:r w:rsidR="002F61D5">
        <w:t xml:space="preserve">. </w:t>
      </w:r>
      <w:r w:rsidR="00C447BB">
        <w:t>T</w:t>
      </w:r>
      <w:r w:rsidR="002F61D5">
        <w:t xml:space="preserve">hey </w:t>
      </w:r>
      <w:r w:rsidR="00C447BB">
        <w:t xml:space="preserve">then </w:t>
      </w:r>
      <w:r w:rsidR="002F639B">
        <w:t>modif</w:t>
      </w:r>
      <w:r w:rsidR="002F61D5">
        <w:t>ied</w:t>
      </w:r>
      <w:r w:rsidR="002F639B">
        <w:t xml:space="preserve"> the style from a bar chart to a waterfall chart. The users then built a bubble chart from scratch.</w:t>
      </w:r>
      <w:r w:rsidR="00091895">
        <w:t xml:space="preserve"> </w:t>
      </w:r>
    </w:p>
    <w:p w14:paraId="6809164D" w14:textId="74307F6D" w:rsidR="002F639B" w:rsidRDefault="0017016C" w:rsidP="009A5354">
      <w:pPr>
        <w:pStyle w:val="BodyTextIndent0"/>
      </w:pPr>
      <w:r>
        <w:t xml:space="preserve">The directions gave the users a sequence of tasks, but did not provide instruction or training. </w:t>
      </w:r>
      <w:r w:rsidRPr="00D57D4C">
        <w:t xml:space="preserve">Participants were asked to think aloud, and intervention was kept to a minimum. The study </w:t>
      </w:r>
      <w:r>
        <w:t>e</w:t>
      </w:r>
      <w:r>
        <w:t>x</w:t>
      </w:r>
      <w:r>
        <w:t xml:space="preserve">plored </w:t>
      </w:r>
      <w:r w:rsidRPr="00D57D4C">
        <w:t xml:space="preserve">both usability aspects of the tool, including which parts of the interface were discoverable or interpretable and which parts were not; </w:t>
      </w:r>
      <w:r>
        <w:t xml:space="preserve">and also to understand how users </w:t>
      </w:r>
      <w:proofErr w:type="spellStart"/>
      <w:r>
        <w:t>scaffolded</w:t>
      </w:r>
      <w:proofErr w:type="spellEnd"/>
      <w:r>
        <w:t xml:space="preserve"> existing spreadsheet skills to this system. In addition, the think-aloud protocol helped us understand how users were learning about the system.</w:t>
      </w:r>
    </w:p>
    <w:p w14:paraId="15FB2E41" w14:textId="33A62A87" w:rsidR="0017016C" w:rsidRPr="00D57D4C" w:rsidRDefault="00C86AD7" w:rsidP="009D3DB8">
      <w:pPr>
        <w:pStyle w:val="Heading2"/>
      </w:pPr>
      <w:r>
        <w:t>Results</w:t>
      </w:r>
    </w:p>
    <w:p w14:paraId="7A927439" w14:textId="73B75450" w:rsidR="001E055B" w:rsidRDefault="001E055B" w:rsidP="009D3DB8">
      <w:pPr>
        <w:pStyle w:val="BodyTextNoIndent"/>
      </w:pPr>
      <w:r>
        <w:t xml:space="preserve">We </w:t>
      </w:r>
      <w:r w:rsidR="003756FF">
        <w:t>recruited</w:t>
      </w:r>
      <w:r>
        <w:t xml:space="preserve"> five information workers with familiarity with Excel </w:t>
      </w:r>
      <w:r w:rsidR="00717C6C">
        <w:t>spreadsheet</w:t>
      </w:r>
      <w:r w:rsidR="00590DF4">
        <w:t>s</w:t>
      </w:r>
      <w:r w:rsidR="00717C6C">
        <w:t xml:space="preserve"> </w:t>
      </w:r>
      <w:r>
        <w:t xml:space="preserve">and who had previously used </w:t>
      </w:r>
      <w:r w:rsidR="00717C6C">
        <w:t xml:space="preserve">Excel </w:t>
      </w:r>
      <w:r>
        <w:t xml:space="preserve">charting. </w:t>
      </w:r>
      <w:r w:rsidRPr="00D57D4C">
        <w:t xml:space="preserve">All participants had experience with the existing methods of charting within Excel; two participants use Excel to visualize data extensively. One of our participants </w:t>
      </w:r>
      <w:r>
        <w:t xml:space="preserve">did have </w:t>
      </w:r>
      <w:r w:rsidRPr="00D57D4C">
        <w:t>programming experience, which included building custom visualizations in Excel from scratch using Visual Basic.</w:t>
      </w:r>
    </w:p>
    <w:p w14:paraId="6809164F" w14:textId="77777777" w:rsidR="002F639B" w:rsidRPr="00D57D4C" w:rsidRDefault="002F639B" w:rsidP="009A5354">
      <w:pPr>
        <w:pStyle w:val="BodyTextIndent0"/>
      </w:pPr>
      <w:r w:rsidRPr="00D57D4C">
        <w:t>All the participants were able to grasp the idea of binding d</w:t>
      </w:r>
      <w:r w:rsidRPr="00D57D4C">
        <w:t>a</w:t>
      </w:r>
      <w:r w:rsidRPr="00D57D4C">
        <w:t>ta to attributes of shapes on the canvas; one of the five partic</w:t>
      </w:r>
      <w:r w:rsidRPr="00D57D4C">
        <w:t>i</w:t>
      </w:r>
      <w:r w:rsidRPr="00D57D4C">
        <w:t>pants needed prompting to realize that he could use cell refe</w:t>
      </w:r>
      <w:r w:rsidRPr="00D57D4C">
        <w:t>r</w:t>
      </w:r>
      <w:r w:rsidRPr="00D57D4C">
        <w:t>ences as fields. Several participants had difficulty in the ind</w:t>
      </w:r>
      <w:r w:rsidRPr="00D57D4C">
        <w:t>i</w:t>
      </w:r>
      <w:r w:rsidRPr="00D57D4C">
        <w:t>vidual stages for modifying the column chart into the waterfall chart (stages 2-3); however, all participants were able to gene</w:t>
      </w:r>
      <w:r w:rsidRPr="00D57D4C">
        <w:t>r</w:t>
      </w:r>
      <w:r w:rsidRPr="00D57D4C">
        <w:t xml:space="preserve">alize the principles and apply them to the creation of the bubble chart (stage 4), with no prompting. The time to complete stage 4 ranged from 3 to 14 minutes. </w:t>
      </w:r>
    </w:p>
    <w:p w14:paraId="68091650" w14:textId="0AF7AE3F" w:rsidR="002F639B" w:rsidRDefault="00C75DDA" w:rsidP="009A5354">
      <w:pPr>
        <w:pStyle w:val="BodyTextIndent0"/>
      </w:pPr>
      <w:r>
        <w:rPr>
          <w:noProof/>
        </w:rPr>
        <mc:AlternateContent>
          <mc:Choice Requires="wps">
            <w:drawing>
              <wp:anchor distT="0" distB="0" distL="114300" distR="114300" simplePos="0" relativeHeight="251676672" behindDoc="0" locked="0" layoutInCell="1" allowOverlap="1" wp14:anchorId="12150669" wp14:editId="06D53F7D">
                <wp:simplePos x="0" y="0"/>
                <wp:positionH relativeFrom="margin">
                  <wp:posOffset>298450</wp:posOffset>
                </wp:positionH>
                <wp:positionV relativeFrom="margin">
                  <wp:posOffset>6440170</wp:posOffset>
                </wp:positionV>
                <wp:extent cx="5894070" cy="2524760"/>
                <wp:effectExtent l="0" t="0" r="0" b="8890"/>
                <wp:wrapSquare wrapText="bothSides"/>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4070" cy="2524760"/>
                        </a:xfrm>
                        <a:prstGeom prst="rect">
                          <a:avLst/>
                        </a:prstGeom>
                        <a:solidFill>
                          <a:sysClr val="window" lastClr="FFFFFF"/>
                        </a:solidFill>
                        <a:ln w="6350">
                          <a:noFill/>
                        </a:ln>
                        <a:effectLst/>
                      </wps:spPr>
                      <wps:txbx>
                        <w:txbxContent>
                          <w:p w14:paraId="472613FA" w14:textId="77777777" w:rsidR="003C72FA" w:rsidRPr="00161F89" w:rsidRDefault="003C72FA" w:rsidP="00ED2546">
                            <w:pPr>
                              <w:pStyle w:val="Caption"/>
                            </w:pPr>
                            <w:r>
                              <w:rPr>
                                <w:noProof/>
                                <w:lang w:val="en-US"/>
                              </w:rPr>
                              <w:drawing>
                                <wp:inline distT="0" distB="0" distL="0" distR="0" wp14:anchorId="1A671E00" wp14:editId="00F6A3D2">
                                  <wp:extent cx="2787650" cy="1720850"/>
                                  <wp:effectExtent l="0" t="0" r="6350" b="6350"/>
                                  <wp:docPr id="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87650" cy="1720850"/>
                                          </a:xfrm>
                                          <a:prstGeom prst="rect">
                                            <a:avLst/>
                                          </a:prstGeom>
                                          <a:noFill/>
                                          <a:ln>
                                            <a:noFill/>
                                          </a:ln>
                                        </pic:spPr>
                                      </pic:pic>
                                    </a:graphicData>
                                  </a:graphic>
                                </wp:inline>
                              </w:drawing>
                            </w:r>
                            <w:r w:rsidRPr="00A87406">
                              <w:t xml:space="preserve"> </w:t>
                            </w:r>
                            <w:r>
                              <w:rPr>
                                <w:noProof/>
                                <w:lang w:val="en-US"/>
                              </w:rPr>
                              <w:drawing>
                                <wp:inline distT="0" distB="0" distL="0" distR="0" wp14:anchorId="10F75D26" wp14:editId="7CBD3492">
                                  <wp:extent cx="2792996" cy="1719263"/>
                                  <wp:effectExtent l="0" t="0" r="7620" b="0"/>
                                  <wp:docPr id="20" name="Picture 20" descr="cid:image001.png@01CBEB0C.BF206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BEB0C.BF206FA0"/>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2799900" cy="1723513"/>
                                          </a:xfrm>
                                          <a:prstGeom prst="rect">
                                            <a:avLst/>
                                          </a:prstGeom>
                                          <a:noFill/>
                                          <a:ln>
                                            <a:noFill/>
                                          </a:ln>
                                        </pic:spPr>
                                      </pic:pic>
                                    </a:graphicData>
                                  </a:graphic>
                                </wp:inline>
                              </w:drawing>
                            </w:r>
                          </w:p>
                          <w:p w14:paraId="1AD938DC" w14:textId="12B58054" w:rsidR="003C72FA" w:rsidRPr="00A7349A" w:rsidRDefault="003C72FA" w:rsidP="00ED2546">
                            <w:pPr>
                              <w:pStyle w:val="FigureCaption"/>
                            </w:pPr>
                            <w:r w:rsidRPr="00EE48D8">
                              <w:t xml:space="preserve">Figure </w:t>
                            </w:r>
                            <w:r>
                              <w:t xml:space="preserve">9 (left). </w:t>
                            </w:r>
                            <w:proofErr w:type="gramStart"/>
                            <w:r w:rsidRPr="00A7349A">
                              <w:t>A hi</w:t>
                            </w:r>
                            <w:proofErr w:type="gramEnd"/>
                            <w:r w:rsidRPr="00A7349A">
                              <w:t xml:space="preserve">-lo stock chart showing 40 months of data for a single stock listing. Each bar represents the high, low, opening, and closing values for a single trading month as three boxes. Months </w:t>
                            </w:r>
                            <w:proofErr w:type="gramStart"/>
                            <w:r w:rsidRPr="00A7349A">
                              <w:t>that increase are</w:t>
                            </w:r>
                            <w:proofErr w:type="gramEnd"/>
                            <w:r w:rsidRPr="00A7349A">
                              <w:t xml:space="preserve"> drawn in green, while decreases are in red. Non-contiguous pairs occur from after-hours trading.</w:t>
                            </w:r>
                            <w:r>
                              <w:t xml:space="preserve"> </w:t>
                            </w:r>
                            <w:r>
                              <w:br/>
                              <w:t>(</w:t>
                            </w:r>
                            <w:proofErr w:type="gramStart"/>
                            <w:r>
                              <w:t>right</w:t>
                            </w:r>
                            <w:proofErr w:type="gramEnd"/>
                            <w:r>
                              <w:t xml:space="preserve">) </w:t>
                            </w:r>
                            <w:proofErr w:type="gramStart"/>
                            <w:r>
                              <w:t>A radial visualization that shows connection between countries.</w:t>
                            </w:r>
                            <w:proofErr w:type="gramEnd"/>
                            <w:r>
                              <w:t xml:space="preserve"> This was done by combining two visual styles: one for the text labels, and the other for the arcs between nodes.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4" type="#_x0000_t202" style="position:absolute;left:0;text-align:left;margin-left:23.5pt;margin-top:507.1pt;width:464.1pt;height:198.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" fillcolor="window" stroked="f" strokeweight=".5pt">
                <v:path arrowok="t"/>
                <v:textbox inset="0,0,0,0">
                  <w:txbxContent>
                    <w:p w14:paraId="472613FA" w14:textId="77777777" w:rsidR="003C72FA" w:rsidRPr="00161F89" w:rsidRDefault="003C72FA" w:rsidP="00ED2546">
                      <w:pPr>
                        <w:pStyle w:val="Caption"/>
                      </w:pPr>
                      <w:r>
                        <w:rPr>
                          <w:noProof/>
                          <w:lang w:val="en-US"/>
                        </w:rPr>
                        <w:drawing>
                          <wp:inline distT="0" distB="0" distL="0" distR="0" wp14:anchorId="1A671E00" wp14:editId="00F6A3D2">
                            <wp:extent cx="2787650" cy="1720850"/>
                            <wp:effectExtent l="0" t="0" r="6350" b="6350"/>
                            <wp:docPr id="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7650" cy="1720850"/>
                                    </a:xfrm>
                                    <a:prstGeom prst="rect">
                                      <a:avLst/>
                                    </a:prstGeom>
                                    <a:noFill/>
                                    <a:ln>
                                      <a:noFill/>
                                    </a:ln>
                                  </pic:spPr>
                                </pic:pic>
                              </a:graphicData>
                            </a:graphic>
                          </wp:inline>
                        </w:drawing>
                      </w:r>
                      <w:r w:rsidRPr="00A87406">
                        <w:t xml:space="preserve"> </w:t>
                      </w:r>
                      <w:r>
                        <w:rPr>
                          <w:noProof/>
                          <w:lang w:val="en-US"/>
                        </w:rPr>
                        <w:drawing>
                          <wp:inline distT="0" distB="0" distL="0" distR="0" wp14:anchorId="10F75D26" wp14:editId="7CBD3492">
                            <wp:extent cx="2792996" cy="1719263"/>
                            <wp:effectExtent l="0" t="0" r="7620" b="0"/>
                            <wp:docPr id="20" name="Picture 20" descr="cid:image001.png@01CBEB0C.BF206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BEB0C.BF206FA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2799900" cy="1723513"/>
                                    </a:xfrm>
                                    <a:prstGeom prst="rect">
                                      <a:avLst/>
                                    </a:prstGeom>
                                    <a:noFill/>
                                    <a:ln>
                                      <a:noFill/>
                                    </a:ln>
                                  </pic:spPr>
                                </pic:pic>
                              </a:graphicData>
                            </a:graphic>
                          </wp:inline>
                        </w:drawing>
                      </w:r>
                    </w:p>
                    <w:p w14:paraId="1AD938DC" w14:textId="12B58054" w:rsidR="003C72FA" w:rsidRPr="00A7349A" w:rsidRDefault="003C72FA" w:rsidP="00ED2546">
                      <w:pPr>
                        <w:pStyle w:val="FigureCaption"/>
                      </w:pPr>
                      <w:r w:rsidRPr="00EE48D8">
                        <w:t xml:space="preserve">Figure </w:t>
                      </w:r>
                      <w:r>
                        <w:t xml:space="preserve">9 (left). </w:t>
                      </w:r>
                      <w:proofErr w:type="gramStart"/>
                      <w:r w:rsidRPr="00A7349A">
                        <w:t>A hi</w:t>
                      </w:r>
                      <w:proofErr w:type="gramEnd"/>
                      <w:r w:rsidRPr="00A7349A">
                        <w:t xml:space="preserve">-lo stock chart showing 40 months of data for a single stock listing. Each bar represents the high, low, opening, and closing values for a single trading month as three boxes. Months </w:t>
                      </w:r>
                      <w:proofErr w:type="gramStart"/>
                      <w:r w:rsidRPr="00A7349A">
                        <w:t>that increase are</w:t>
                      </w:r>
                      <w:proofErr w:type="gramEnd"/>
                      <w:r w:rsidRPr="00A7349A">
                        <w:t xml:space="preserve"> drawn in green, while decreases are in red. Non-contiguous pairs occur from after-hours trading.</w:t>
                      </w:r>
                      <w:r>
                        <w:t xml:space="preserve"> </w:t>
                      </w:r>
                      <w:r>
                        <w:br/>
                        <w:t>(</w:t>
                      </w:r>
                      <w:proofErr w:type="gramStart"/>
                      <w:r>
                        <w:t>right</w:t>
                      </w:r>
                      <w:proofErr w:type="gramEnd"/>
                      <w:r>
                        <w:t xml:space="preserve">) </w:t>
                      </w:r>
                      <w:proofErr w:type="gramStart"/>
                      <w:r>
                        <w:t>A radial visualization that shows connection between countries.</w:t>
                      </w:r>
                      <w:proofErr w:type="gramEnd"/>
                      <w:r>
                        <w:t xml:space="preserve"> This was done by combining two visual styles: one for the text labels, and the other for the arcs between nodes.</w:t>
                      </w:r>
                    </w:p>
                  </w:txbxContent>
                </v:textbox>
                <w10:wrap type="square" anchorx="margin" anchory="margin"/>
              </v:shape>
            </w:pict>
          </mc:Fallback>
        </mc:AlternateContent>
      </w:r>
      <w:r w:rsidR="002F639B" w:rsidRPr="00D57D4C">
        <w:t xml:space="preserve">Interestingly, the user that required the most prompting early on was the user that was most experienced with programming, having already created visualizations with Visual Basic. Once he caught on to the idea of visual styles, however, he was the </w:t>
      </w:r>
      <w:r w:rsidR="002F639B" w:rsidRPr="00D57D4C">
        <w:lastRenderedPageBreak/>
        <w:t xml:space="preserve">fastest at creating the bubble chart.  </w:t>
      </w:r>
    </w:p>
    <w:p w14:paraId="68091651" w14:textId="4922D867" w:rsidR="002F639B" w:rsidRDefault="002F639B" w:rsidP="009A5354">
      <w:pPr>
        <w:pStyle w:val="BodyTextIndent0"/>
      </w:pPr>
      <w:r>
        <w:t>Many of the users commented that while they understood the system, their preferred working style would be to start from an already existing visualization and modify that in order to get the desired visualization - they did not think about starting with a blank canvas, adding a visual element to the page and subs</w:t>
      </w:r>
      <w:r>
        <w:t>e</w:t>
      </w:r>
      <w:r>
        <w:t xml:space="preserve">quently binding data to that element. Several users felt that the ability to examine an existing visual style was appealing, though at least one user (the programmer) felt that he would have been more effective using raw code. </w:t>
      </w:r>
    </w:p>
    <w:p w14:paraId="68091652" w14:textId="77777777" w:rsidR="002F639B" w:rsidRPr="00D57D4C" w:rsidRDefault="002F639B" w:rsidP="009A5354">
      <w:pPr>
        <w:pStyle w:val="BodyTextIndent0"/>
      </w:pPr>
      <w:r>
        <w:t>The study already prompted some redesigns of the tool. In</w:t>
      </w:r>
      <w:r>
        <w:t>i</w:t>
      </w:r>
      <w:r>
        <w:t xml:space="preserve">tially, following the example of tools like Microsoft Word and Adobe Illustrator, changing a single element in a style does not update all the others; </w:t>
      </w:r>
      <w:r w:rsidRPr="00D57D4C">
        <w:t>rather, the user needs to manually press “update style.” We initially felt that it made more sense for users to change a stable chart, and then propagate the changes. Several users found this extra step annoying, and asked for a</w:t>
      </w:r>
      <w:r>
        <w:t>ll marks to be changed together when updating a single mark.</w:t>
      </w:r>
    </w:p>
    <w:p w14:paraId="68091653" w14:textId="77777777" w:rsidR="002F639B" w:rsidRPr="00D57D4C" w:rsidRDefault="002F639B" w:rsidP="009A5354">
      <w:pPr>
        <w:pStyle w:val="BodyTextIndent0"/>
      </w:pPr>
      <w:r w:rsidRPr="00D57D4C">
        <w:t xml:space="preserve">Similarly, Vis-à-vis currently represents every mark </w:t>
      </w:r>
      <w:r>
        <w:t xml:space="preserve">on the canvas in a </w:t>
      </w:r>
      <w:r w:rsidRPr="00D57D4C">
        <w:t>hierarchical list. This could be overwhelming when dealing with many rows of data. It may be more intuitive to represent the global style template, and then highlighting items that have been explicitly modified.</w:t>
      </w:r>
    </w:p>
    <w:p w14:paraId="68091654" w14:textId="77777777" w:rsidR="002F639B" w:rsidRPr="00D57D4C" w:rsidRDefault="002F639B" w:rsidP="00BA046B">
      <w:pPr>
        <w:pStyle w:val="Heading1"/>
      </w:pPr>
      <w:r w:rsidRPr="00D57D4C">
        <w:t xml:space="preserve">Discussion </w:t>
      </w:r>
      <w:r>
        <w:t>&amp; Future Work</w:t>
      </w:r>
    </w:p>
    <w:p w14:paraId="68091655" w14:textId="022AE0FC" w:rsidR="002F639B" w:rsidRDefault="002F639B" w:rsidP="009A5354">
      <w:pPr>
        <w:pStyle w:val="BodyTextIndent0"/>
      </w:pPr>
      <w:r>
        <w:t xml:space="preserve">While the results of the prototype and the evaluation are promising, the evaluation helped highlight several areas for future work. All of the participants in the study </w:t>
      </w:r>
      <w:r w:rsidR="000726BC">
        <w:t xml:space="preserve">reported </w:t>
      </w:r>
      <w:r>
        <w:t>that they prefer to pick from a gallery of existing templates for star</w:t>
      </w:r>
      <w:r>
        <w:t>t</w:t>
      </w:r>
      <w:r>
        <w:t>ing their visualizations.  While users were able to adapt a te</w:t>
      </w:r>
      <w:r>
        <w:t>m</w:t>
      </w:r>
      <w:r>
        <w:t xml:space="preserve">plate for their own purposes, </w:t>
      </w:r>
      <w:r w:rsidR="00711DE0">
        <w:t xml:space="preserve">the design must ensure that </w:t>
      </w:r>
      <w:r>
        <w:t xml:space="preserve">this is well supported. Can users find the visualization that is close enough to adapt for their own purposes? How easy is it for them to understand the visual style in order to change it? </w:t>
      </w:r>
      <w:r w:rsidR="00A94253">
        <w:t xml:space="preserve">As </w:t>
      </w:r>
      <w:r>
        <w:t xml:space="preserve">the system can quickly update to match changes to a visual style, users can experiment and see their results immediately. </w:t>
      </w:r>
      <w:r w:rsidR="00A94253">
        <w:t>None the less, while the user study above validates the basic design, further testing is needed to establish whether it is sufficient.</w:t>
      </w:r>
    </w:p>
    <w:p w14:paraId="5BDDE39E" w14:textId="77777777" w:rsidR="001D12FB" w:rsidRDefault="002F639B" w:rsidP="009A5354">
      <w:pPr>
        <w:pStyle w:val="BodyTextIndent0"/>
      </w:pPr>
      <w:r w:rsidRPr="00D57D4C">
        <w:t xml:space="preserve">As we noted above, users wanted the interface to emphasize scaffolding previous charts. </w:t>
      </w:r>
      <w:r w:rsidR="0025375D">
        <w:t xml:space="preserve">It would be desirable to </w:t>
      </w:r>
      <w:r w:rsidR="00A943E6">
        <w:t xml:space="preserve">improve the </w:t>
      </w:r>
      <w:r w:rsidRPr="00D57D4C">
        <w:t>sharing interface to help show how charts have been mod</w:t>
      </w:r>
      <w:r w:rsidRPr="00D57D4C">
        <w:t>i</w:t>
      </w:r>
      <w:r w:rsidRPr="00D57D4C">
        <w:t>fied from previous ones, and are building a larger core of star</w:t>
      </w:r>
      <w:r w:rsidRPr="00D57D4C">
        <w:t>t</w:t>
      </w:r>
      <w:r w:rsidRPr="00D57D4C">
        <w:t xml:space="preserve">ing visualizations. </w:t>
      </w:r>
    </w:p>
    <w:p w14:paraId="68091656" w14:textId="0813F303" w:rsidR="002F639B" w:rsidRDefault="002F639B" w:rsidP="009A5354">
      <w:pPr>
        <w:pStyle w:val="BodyTextIndent0"/>
      </w:pPr>
      <w:r>
        <w:t>Currently</w:t>
      </w:r>
      <w:r w:rsidRPr="00D57D4C">
        <w:t>, the prototype allows a very limited form of sha</w:t>
      </w:r>
      <w:r w:rsidRPr="00D57D4C">
        <w:t>r</w:t>
      </w:r>
      <w:r w:rsidRPr="00D57D4C">
        <w:t>ing</w:t>
      </w:r>
      <w:r w:rsidR="001D12FB">
        <w:t>: styles can be exported and brought into other spreadsheets</w:t>
      </w:r>
      <w:r w:rsidRPr="00D57D4C">
        <w:t xml:space="preserve">. </w:t>
      </w:r>
      <w:r w:rsidR="001D12FB">
        <w:t xml:space="preserve">This design could be easily extended to include </w:t>
      </w:r>
      <w:r w:rsidRPr="00D57D4C">
        <w:t>visualization-sharing features, integrated into the tool, where users can u</w:t>
      </w:r>
      <w:r w:rsidRPr="00D57D4C">
        <w:t>p</w:t>
      </w:r>
      <w:r w:rsidRPr="00D57D4C">
        <w:t xml:space="preserve">load, download, </w:t>
      </w:r>
      <w:r>
        <w:t xml:space="preserve">browse, </w:t>
      </w:r>
      <w:r w:rsidRPr="00D57D4C">
        <w:t>and modify each other’s styles.</w:t>
      </w:r>
    </w:p>
    <w:p w14:paraId="5FF367FB" w14:textId="392FE0AD" w:rsidR="00B232FD" w:rsidRPr="00D57D4C" w:rsidRDefault="00B232FD" w:rsidP="008D1AC5">
      <w:pPr>
        <w:pStyle w:val="Heading2"/>
      </w:pPr>
      <w:r>
        <w:t>Limitations</w:t>
      </w:r>
    </w:p>
    <w:p w14:paraId="7647D419" w14:textId="1FCCE85A" w:rsidR="00130989" w:rsidRDefault="001C516E" w:rsidP="00833EA9">
      <w:pPr>
        <w:pStyle w:val="BodyTextNoIndent"/>
      </w:pPr>
      <w:r>
        <w:t>Vis-à-vis assumes a one-to-one relationship between data items and marks</w:t>
      </w:r>
      <w:r w:rsidR="006F4324">
        <w:t xml:space="preserve"> or components of marks</w:t>
      </w:r>
      <w:r>
        <w:t xml:space="preserve">. </w:t>
      </w:r>
      <w:r w:rsidR="005C429E">
        <w:t>It is able to handle pol</w:t>
      </w:r>
      <w:r w:rsidR="0053644A">
        <w:t>ylines in which each control point maps to a data point. However, m</w:t>
      </w:r>
      <w:r w:rsidR="002F639B" w:rsidRPr="00D57D4C">
        <w:t>any charts require additional data columns that are implicit rather than explicit in the spreadsheet. The rectangles in a treemap, or the buckets in a histogram, cannot be computed in the fields of the objects; we need an auxiliary column to compute these additional fields. These additional columns should be associated with styles, rather than with the data, in order to facilitate sharing of visualizations. We plan to develop an infrastructure for styles to carry additional columns which can be addressed within shape fields.</w:t>
      </w:r>
    </w:p>
    <w:p w14:paraId="6809165A" w14:textId="77777777" w:rsidR="002F639B" w:rsidRPr="00D57D4C" w:rsidRDefault="002F639B" w:rsidP="00BA046B">
      <w:pPr>
        <w:pStyle w:val="Heading1"/>
      </w:pPr>
      <w:r w:rsidRPr="00D57D4C">
        <w:t>Conclusions</w:t>
      </w:r>
    </w:p>
    <w:p w14:paraId="6809165C" w14:textId="6D3BEBEB" w:rsidR="002F639B" w:rsidRDefault="002F639B" w:rsidP="009D3DB8">
      <w:pPr>
        <w:pStyle w:val="BodyTextNoIndent"/>
      </w:pPr>
      <w:r>
        <w:t xml:space="preserve">While information workers may be satisfied with a small set of visualizations, there is often the need to use visualizations that </w:t>
      </w:r>
      <w:r>
        <w:lastRenderedPageBreak/>
        <w:t>are not built into a current system. In Vis-à-vis, we allow customization and extensibility within a single framework, using the same working paradigm that knowledge workers are already familiar. By allowing end-users to explore the specifications for existing visualizations, we have strived to create a virtuous cycle: most users can use and customize a large variety of initial visualizations and some workers can extend and create new visualizations that are available for the community as a whole.</w:t>
      </w:r>
    </w:p>
    <w:p w14:paraId="6809165F" w14:textId="77777777" w:rsidR="00C833BC" w:rsidRDefault="00C833BC" w:rsidP="00BA046B">
      <w:pPr>
        <w:pStyle w:val="Heading1"/>
        <w:numPr>
          <w:ilvl w:val="0"/>
          <w:numId w:val="0"/>
        </w:numPr>
        <w:rPr>
          <w:lang w:val="en-US"/>
        </w:rPr>
      </w:pPr>
      <w:r>
        <w:rPr>
          <w:lang w:val="en-US"/>
        </w:rPr>
        <w:t>References</w:t>
      </w:r>
    </w:p>
    <w:p w14:paraId="334D8816" w14:textId="72B299D3" w:rsidR="00EA013A" w:rsidRPr="00557863" w:rsidRDefault="002C06E3" w:rsidP="005C194F">
      <w:pPr>
        <w:pStyle w:val="Bio2"/>
        <w:rPr>
          <w:lang w:val="en-US"/>
        </w:rPr>
      </w:pPr>
      <w:r w:rsidRPr="00557863">
        <w:rPr>
          <w:smallCaps/>
          <w:lang w:val="en-US"/>
        </w:rPr>
        <w:t xml:space="preserve">[ABE09] </w:t>
      </w:r>
      <w:proofErr w:type="gramStart"/>
      <w:r w:rsidR="00EA013A" w:rsidRPr="00557863">
        <w:rPr>
          <w:smallCaps/>
          <w:lang w:val="en-US"/>
        </w:rPr>
        <w:t xml:space="preserve">Abraham, R., Burnett, M., </w:t>
      </w:r>
      <w:proofErr w:type="spellStart"/>
      <w:r w:rsidR="00EA013A" w:rsidRPr="00557863">
        <w:rPr>
          <w:smallCaps/>
          <w:lang w:val="en-US"/>
        </w:rPr>
        <w:t>Erwig</w:t>
      </w:r>
      <w:proofErr w:type="spellEnd"/>
      <w:r w:rsidR="00EA013A" w:rsidRPr="00557863">
        <w:rPr>
          <w:smallCaps/>
          <w:lang w:val="en-US"/>
        </w:rPr>
        <w:t>, M</w:t>
      </w:r>
      <w:r w:rsidR="00EA013A" w:rsidRPr="00557863">
        <w:rPr>
          <w:lang w:val="en-US"/>
        </w:rPr>
        <w:t xml:space="preserve">. </w:t>
      </w:r>
      <w:r w:rsidR="00EA013A" w:rsidRPr="00557863">
        <w:rPr>
          <w:lang w:val="en"/>
        </w:rPr>
        <w:t>2009.</w:t>
      </w:r>
      <w:proofErr w:type="gramEnd"/>
      <w:r w:rsidR="00EA013A" w:rsidRPr="00557863">
        <w:rPr>
          <w:lang w:val="en"/>
        </w:rPr>
        <w:t xml:space="preserve"> </w:t>
      </w:r>
      <w:proofErr w:type="gramStart"/>
      <w:r w:rsidR="00EA013A" w:rsidRPr="00557863">
        <w:rPr>
          <w:i/>
          <w:lang w:val="en"/>
        </w:rPr>
        <w:t>Spreadsheet Programming</w:t>
      </w:r>
      <w:r w:rsidR="00EA013A" w:rsidRPr="00557863">
        <w:rPr>
          <w:lang w:val="en"/>
        </w:rPr>
        <w:t>.</w:t>
      </w:r>
      <w:proofErr w:type="gramEnd"/>
      <w:r w:rsidR="00EA013A" w:rsidRPr="00557863">
        <w:rPr>
          <w:lang w:val="en"/>
        </w:rPr>
        <w:t xml:space="preserve"> </w:t>
      </w:r>
      <w:proofErr w:type="gramStart"/>
      <w:r w:rsidR="00EA013A" w:rsidRPr="00557863">
        <w:rPr>
          <w:lang w:val="en"/>
        </w:rPr>
        <w:t>Wiley Encyclopedia of Co</w:t>
      </w:r>
      <w:r w:rsidR="00EA013A" w:rsidRPr="00557863">
        <w:rPr>
          <w:lang w:val="en"/>
        </w:rPr>
        <w:t>m</w:t>
      </w:r>
      <w:r w:rsidR="00EA013A" w:rsidRPr="00557863">
        <w:rPr>
          <w:lang w:val="en"/>
        </w:rPr>
        <w:t>puter Science and Engineering.</w:t>
      </w:r>
      <w:proofErr w:type="gramEnd"/>
      <w:r w:rsidR="00EA013A" w:rsidRPr="00557863">
        <w:rPr>
          <w:lang w:val="en"/>
        </w:rPr>
        <w:t xml:space="preserve"> 2804–2810.</w:t>
      </w:r>
    </w:p>
    <w:p w14:paraId="4915D1EA" w14:textId="3B969B1B" w:rsidR="005C194F" w:rsidRPr="00557863" w:rsidRDefault="005C194F" w:rsidP="005C194F">
      <w:pPr>
        <w:pStyle w:val="Bio2"/>
        <w:rPr>
          <w:lang w:val="en-US"/>
        </w:rPr>
      </w:pPr>
      <w:r w:rsidRPr="00557863">
        <w:rPr>
          <w:smallCaps/>
          <w:lang w:val="en-US"/>
        </w:rPr>
        <w:t xml:space="preserve">[BH09] </w:t>
      </w:r>
      <w:proofErr w:type="spellStart"/>
      <w:r w:rsidRPr="00557863">
        <w:rPr>
          <w:smallCaps/>
          <w:lang w:val="en-US"/>
        </w:rPr>
        <w:t>Bostock</w:t>
      </w:r>
      <w:proofErr w:type="spellEnd"/>
      <w:r w:rsidRPr="00557863">
        <w:rPr>
          <w:smallCaps/>
          <w:lang w:val="en-US"/>
        </w:rPr>
        <w:t xml:space="preserve">, M., </w:t>
      </w:r>
      <w:proofErr w:type="spellStart"/>
      <w:r w:rsidRPr="00557863">
        <w:rPr>
          <w:smallCaps/>
          <w:lang w:val="en-US"/>
        </w:rPr>
        <w:t>Heer</w:t>
      </w:r>
      <w:proofErr w:type="spellEnd"/>
      <w:r w:rsidRPr="00557863">
        <w:rPr>
          <w:smallCaps/>
          <w:lang w:val="en-US"/>
        </w:rPr>
        <w:t>, J</w:t>
      </w:r>
      <w:r w:rsidRPr="00557863">
        <w:rPr>
          <w:lang w:val="en-US"/>
        </w:rPr>
        <w:t xml:space="preserve">. </w:t>
      </w:r>
      <w:r w:rsidRPr="00557863">
        <w:rPr>
          <w:i/>
        </w:rPr>
        <w:t>Protovis: A Graphical Toolkit for Visualization</w:t>
      </w:r>
      <w:r w:rsidRPr="00557863">
        <w:t>.</w:t>
      </w:r>
      <w:r w:rsidRPr="00557863">
        <w:rPr>
          <w:lang w:val="en-US"/>
        </w:rPr>
        <w:t xml:space="preserve"> </w:t>
      </w:r>
      <w:proofErr w:type="gramStart"/>
      <w:r w:rsidRPr="00557863">
        <w:rPr>
          <w:lang w:val="en-US"/>
        </w:rPr>
        <w:t>Transactions on Visualization and Co</w:t>
      </w:r>
      <w:r w:rsidRPr="00557863">
        <w:rPr>
          <w:lang w:val="en-US"/>
        </w:rPr>
        <w:t>m</w:t>
      </w:r>
      <w:r w:rsidRPr="00557863">
        <w:rPr>
          <w:lang w:val="en-US"/>
        </w:rPr>
        <w:t>puter Graphics 2009.</w:t>
      </w:r>
      <w:proofErr w:type="gramEnd"/>
    </w:p>
    <w:p w14:paraId="47E9EDA6" w14:textId="26FC1BFB" w:rsidR="00054FAA" w:rsidRPr="00557863" w:rsidRDefault="0003006C" w:rsidP="009D3DB8">
      <w:pPr>
        <w:pStyle w:val="Bio2"/>
        <w:rPr>
          <w:lang w:val="en-US"/>
        </w:rPr>
      </w:pPr>
      <w:r w:rsidRPr="00557863">
        <w:rPr>
          <w:smallCaps/>
        </w:rPr>
        <w:t xml:space="preserve">[CRB*98] </w:t>
      </w:r>
      <w:r w:rsidR="00054FAA" w:rsidRPr="00557863">
        <w:rPr>
          <w:smallCaps/>
        </w:rPr>
        <w:t>Ed H. Chi, John Riedl, Phillip Barry, Joseph Konstan</w:t>
      </w:r>
      <w:r w:rsidR="00054FAA" w:rsidRPr="00557863">
        <w:t xml:space="preserve">. </w:t>
      </w:r>
      <w:r w:rsidR="00054FAA" w:rsidRPr="00557863">
        <w:rPr>
          <w:i/>
        </w:rPr>
        <w:t>Principles for Information Visualization Spreadsheets</w:t>
      </w:r>
      <w:r w:rsidR="00054FAA" w:rsidRPr="00557863">
        <w:t>.</w:t>
      </w:r>
      <w:r w:rsidR="007E738B" w:rsidRPr="00557863">
        <w:rPr>
          <w:iCs/>
        </w:rPr>
        <w:t xml:space="preserve"> I</w:t>
      </w:r>
      <w:r w:rsidR="00054FAA" w:rsidRPr="00557863">
        <w:rPr>
          <w:iCs/>
        </w:rPr>
        <w:t>EEE Computer Graphics and Applications (Special Issue on Visualization)</w:t>
      </w:r>
      <w:r w:rsidR="00054FAA" w:rsidRPr="00557863">
        <w:t>, pp. 30--38. July/August, 1998. IEEE CS Press.</w:t>
      </w:r>
    </w:p>
    <w:p w14:paraId="68091661" w14:textId="64813DD7" w:rsidR="00197140" w:rsidRPr="00557863" w:rsidRDefault="00197140" w:rsidP="00197140">
      <w:pPr>
        <w:ind w:left="288" w:hanging="288"/>
        <w:rPr>
          <w:lang w:val="en-US"/>
        </w:rPr>
      </w:pPr>
      <w:r w:rsidRPr="00557863">
        <w:rPr>
          <w:b/>
          <w:smallCaps/>
          <w:lang w:val="en-US"/>
        </w:rPr>
        <w:t>[</w:t>
      </w:r>
      <w:r w:rsidRPr="00557863">
        <w:rPr>
          <w:smallCaps/>
          <w:lang w:val="en-US"/>
        </w:rPr>
        <w:t>CRK97</w:t>
      </w:r>
      <w:r w:rsidRPr="00557863">
        <w:rPr>
          <w:smallCaps/>
        </w:rPr>
        <w:t xml:space="preserve">] </w:t>
      </w:r>
      <w:proofErr w:type="spellStart"/>
      <w:r w:rsidRPr="00557863">
        <w:rPr>
          <w:smallCaps/>
          <w:lang w:val="en-US"/>
        </w:rPr>
        <w:t>Chuah</w:t>
      </w:r>
      <w:proofErr w:type="spellEnd"/>
      <w:r w:rsidRPr="00557863">
        <w:rPr>
          <w:smallCaps/>
          <w:lang w:val="en-US"/>
        </w:rPr>
        <w:t xml:space="preserve">, M. C., </w:t>
      </w:r>
      <w:r w:rsidRPr="00557863">
        <w:rPr>
          <w:smallCaps/>
        </w:rPr>
        <w:t>Roth, S. F., and Kerpedjiev, S</w:t>
      </w:r>
      <w:r w:rsidR="00DB3811" w:rsidRPr="00557863">
        <w:rPr>
          <w:smallCaps/>
        </w:rPr>
        <w:t>. 1997.</w:t>
      </w:r>
      <w:r w:rsidRPr="00557863">
        <w:rPr>
          <w:b/>
          <w:lang w:val="en-US"/>
        </w:rPr>
        <w:t xml:space="preserve"> </w:t>
      </w:r>
      <w:r w:rsidRPr="00557863">
        <w:rPr>
          <w:i/>
          <w:lang w:val="en-US"/>
        </w:rPr>
        <w:t>Sketching, Searching, and Customizing Visualizations: A Content-based Approach to Design Retrieval</w:t>
      </w:r>
      <w:r w:rsidRPr="00557863">
        <w:rPr>
          <w:b/>
          <w:lang w:val="en-US"/>
        </w:rPr>
        <w:t xml:space="preserve">. </w:t>
      </w:r>
      <w:proofErr w:type="gramStart"/>
      <w:r w:rsidRPr="00557863">
        <w:rPr>
          <w:lang w:val="en-US"/>
        </w:rPr>
        <w:t xml:space="preserve">In M. </w:t>
      </w:r>
      <w:proofErr w:type="spellStart"/>
      <w:r w:rsidRPr="00557863">
        <w:rPr>
          <w:lang w:val="en-US"/>
        </w:rPr>
        <w:t>Me</w:t>
      </w:r>
      <w:r w:rsidRPr="00557863">
        <w:rPr>
          <w:lang w:val="en-US"/>
        </w:rPr>
        <w:t>y</w:t>
      </w:r>
      <w:r w:rsidRPr="00557863">
        <w:rPr>
          <w:lang w:val="en-US"/>
        </w:rPr>
        <w:t>bury</w:t>
      </w:r>
      <w:proofErr w:type="spellEnd"/>
      <w:r w:rsidRPr="00557863">
        <w:rPr>
          <w:lang w:val="en-US"/>
        </w:rPr>
        <w:t xml:space="preserve"> (ed.), Intelligent Multimedia Information Retrieval.</w:t>
      </w:r>
      <w:proofErr w:type="gramEnd"/>
      <w:r w:rsidRPr="00557863">
        <w:rPr>
          <w:lang w:val="en-US"/>
        </w:rPr>
        <w:t xml:space="preserve"> AAAI/MIT, 83-111. </w:t>
      </w:r>
    </w:p>
    <w:p w14:paraId="35DE5889" w14:textId="292E4C5B" w:rsidR="00605FB8" w:rsidRPr="00557863" w:rsidRDefault="00605FB8" w:rsidP="00605FB8">
      <w:pPr>
        <w:ind w:left="288" w:hanging="288"/>
        <w:rPr>
          <w:lang w:val="en-US"/>
        </w:rPr>
      </w:pPr>
      <w:bookmarkStart w:id="1" w:name="_Ref289161305"/>
      <w:r w:rsidRPr="00557863">
        <w:rPr>
          <w:smallCaps/>
          <w:lang w:val="en-US"/>
        </w:rPr>
        <w:t xml:space="preserve">[Fek04] </w:t>
      </w:r>
      <w:proofErr w:type="spellStart"/>
      <w:r w:rsidRPr="00557863">
        <w:rPr>
          <w:smallCaps/>
          <w:lang w:val="en-US"/>
        </w:rPr>
        <w:t>Fekete</w:t>
      </w:r>
      <w:proofErr w:type="spellEnd"/>
      <w:r w:rsidRPr="00557863">
        <w:rPr>
          <w:smallCaps/>
          <w:lang w:val="en-US"/>
        </w:rPr>
        <w:t>,</w:t>
      </w:r>
      <w:r w:rsidR="00A11811" w:rsidRPr="00557863">
        <w:rPr>
          <w:smallCaps/>
          <w:lang w:val="en-US"/>
        </w:rPr>
        <w:t xml:space="preserve"> J.-D.</w:t>
      </w:r>
      <w:r w:rsidR="00957239" w:rsidRPr="00557863">
        <w:rPr>
          <w:smallCaps/>
          <w:lang w:val="en-US"/>
        </w:rPr>
        <w:t xml:space="preserve"> 2004. </w:t>
      </w:r>
      <w:r w:rsidRPr="00557863">
        <w:rPr>
          <w:i/>
          <w:lang w:val="en-US"/>
        </w:rPr>
        <w:t xml:space="preserve">The </w:t>
      </w:r>
      <w:proofErr w:type="spellStart"/>
      <w:r w:rsidRPr="00557863">
        <w:rPr>
          <w:i/>
          <w:lang w:val="en-US"/>
        </w:rPr>
        <w:t>InfoVis</w:t>
      </w:r>
      <w:proofErr w:type="spellEnd"/>
      <w:r w:rsidRPr="00557863">
        <w:rPr>
          <w:i/>
          <w:lang w:val="en-US"/>
        </w:rPr>
        <w:t xml:space="preserve"> Toolkit</w:t>
      </w:r>
      <w:r w:rsidR="00957239" w:rsidRPr="00557863">
        <w:rPr>
          <w:lang w:val="en-US"/>
        </w:rPr>
        <w:t xml:space="preserve">. </w:t>
      </w:r>
      <w:r w:rsidRPr="00557863">
        <w:rPr>
          <w:lang w:val="en-US"/>
        </w:rPr>
        <w:t>Proceedings of the 10th IEEE Symposium on Information Visualization (InfoVis'04), IEEE Press, pp. 167-174.</w:t>
      </w:r>
      <w:bookmarkEnd w:id="1"/>
    </w:p>
    <w:p w14:paraId="68091662" w14:textId="13B0B504" w:rsidR="00265116" w:rsidRPr="00557863" w:rsidRDefault="00265116" w:rsidP="00265116">
      <w:pPr>
        <w:ind w:left="288" w:hanging="288"/>
        <w:rPr>
          <w:lang w:val="en-US"/>
        </w:rPr>
      </w:pPr>
      <w:r w:rsidRPr="00557863">
        <w:rPr>
          <w:lang w:val="en-US"/>
        </w:rPr>
        <w:t>[FDF*10]</w:t>
      </w:r>
      <w:r w:rsidRPr="00557863">
        <w:t xml:space="preserve"> </w:t>
      </w:r>
      <w:r w:rsidRPr="00557863">
        <w:rPr>
          <w:smallCaps/>
        </w:rPr>
        <w:t>Fisher, D., Drucker, S., Fernandez, R., Ruble, S</w:t>
      </w:r>
      <w:r w:rsidR="0003529D" w:rsidRPr="00557863">
        <w:rPr>
          <w:smallCaps/>
        </w:rPr>
        <w:t xml:space="preserve">. </w:t>
      </w:r>
      <w:r w:rsidR="0003529D" w:rsidRPr="00557863">
        <w:rPr>
          <w:lang w:val="en-US"/>
        </w:rPr>
        <w:t>2010</w:t>
      </w:r>
      <w:r w:rsidR="00517CE8" w:rsidRPr="00557863">
        <w:rPr>
          <w:lang w:val="en-US"/>
        </w:rPr>
        <w:t>.</w:t>
      </w:r>
      <w:r w:rsidRPr="00557863">
        <w:rPr>
          <w:lang w:val="en-US"/>
        </w:rPr>
        <w:t xml:space="preserve"> </w:t>
      </w:r>
      <w:proofErr w:type="spellStart"/>
      <w:r w:rsidRPr="00557863">
        <w:rPr>
          <w:i/>
          <w:lang w:val="en-US"/>
        </w:rPr>
        <w:t>WebCharts</w:t>
      </w:r>
      <w:proofErr w:type="spellEnd"/>
      <w:r w:rsidRPr="00557863">
        <w:rPr>
          <w:i/>
          <w:lang w:val="en-US"/>
        </w:rPr>
        <w:t>: Extending Applications with Web-Authored, Embeddable Visualizations</w:t>
      </w:r>
      <w:r w:rsidRPr="00557863">
        <w:rPr>
          <w:lang w:val="en-US"/>
        </w:rPr>
        <w:t xml:space="preserve">. </w:t>
      </w:r>
      <w:proofErr w:type="gramStart"/>
      <w:r w:rsidRPr="00557863">
        <w:rPr>
          <w:lang w:val="en-US"/>
        </w:rPr>
        <w:t>IEEE Transactions on Visualization and Computer Graphics.</w:t>
      </w:r>
      <w:proofErr w:type="gramEnd"/>
      <w:r w:rsidRPr="00557863">
        <w:rPr>
          <w:lang w:val="en-US"/>
        </w:rPr>
        <w:t xml:space="preserve"> 16(6, Nov/Dec), 1325-1332.</w:t>
      </w:r>
    </w:p>
    <w:p w14:paraId="68091663" w14:textId="0BBB3CE5" w:rsidR="00EE2E9F" w:rsidRPr="00557863" w:rsidRDefault="00EE2E9F" w:rsidP="00A54AD1">
      <w:pPr>
        <w:ind w:left="288" w:hanging="288"/>
        <w:rPr>
          <w:lang w:val="en-US"/>
        </w:rPr>
      </w:pPr>
      <w:r w:rsidRPr="00557863">
        <w:rPr>
          <w:lang w:val="en-US"/>
        </w:rPr>
        <w:t>[HCL05]</w:t>
      </w:r>
      <w:r w:rsidRPr="00557863">
        <w:t xml:space="preserve"> </w:t>
      </w:r>
      <w:r w:rsidRPr="00557863">
        <w:rPr>
          <w:smallCaps/>
        </w:rPr>
        <w:t>Heer, J., Card, S. K., Landay, J</w:t>
      </w:r>
      <w:r w:rsidR="00C11E71" w:rsidRPr="00557863">
        <w:rPr>
          <w:smallCaps/>
        </w:rPr>
        <w:t>. 2005.</w:t>
      </w:r>
      <w:r w:rsidRPr="00557863">
        <w:rPr>
          <w:lang w:val="en-US"/>
        </w:rPr>
        <w:t xml:space="preserve"> </w:t>
      </w:r>
      <w:proofErr w:type="spellStart"/>
      <w:r w:rsidRPr="00557863">
        <w:rPr>
          <w:i/>
          <w:lang w:val="en-US"/>
        </w:rPr>
        <w:t>Prefuse</w:t>
      </w:r>
      <w:proofErr w:type="spellEnd"/>
      <w:r w:rsidRPr="00557863">
        <w:rPr>
          <w:i/>
          <w:lang w:val="en-US"/>
        </w:rPr>
        <w:t>: A Toolkit for Interactive Information Visualization</w:t>
      </w:r>
      <w:r w:rsidRPr="00557863">
        <w:rPr>
          <w:lang w:val="en-US"/>
        </w:rPr>
        <w:t xml:space="preserve">. </w:t>
      </w:r>
      <w:proofErr w:type="gramStart"/>
      <w:r w:rsidRPr="00557863">
        <w:rPr>
          <w:lang w:val="en-US"/>
        </w:rPr>
        <w:t>ACM Human Factors in Computing Systems (CHI 05).</w:t>
      </w:r>
      <w:proofErr w:type="gramEnd"/>
      <w:r w:rsidRPr="00557863">
        <w:rPr>
          <w:lang w:val="en-US"/>
        </w:rPr>
        <w:t xml:space="preserve"> </w:t>
      </w:r>
      <w:r w:rsidR="00B21DA5" w:rsidRPr="00557863">
        <w:rPr>
          <w:lang w:val="en-US"/>
        </w:rPr>
        <w:t xml:space="preserve">April. </w:t>
      </w:r>
      <w:proofErr w:type="gramStart"/>
      <w:r w:rsidRPr="00557863">
        <w:rPr>
          <w:lang w:val="en-US"/>
        </w:rPr>
        <w:t>421-430.</w:t>
      </w:r>
      <w:proofErr w:type="gramEnd"/>
      <w:r w:rsidRPr="00557863">
        <w:rPr>
          <w:lang w:val="en-US"/>
        </w:rPr>
        <w:t xml:space="preserve"> </w:t>
      </w:r>
    </w:p>
    <w:p w14:paraId="68091664" w14:textId="7490C770" w:rsidR="005776EC" w:rsidRPr="00557863" w:rsidRDefault="005776EC" w:rsidP="00265116">
      <w:pPr>
        <w:ind w:left="288" w:hanging="288"/>
        <w:rPr>
          <w:lang w:val="en-US"/>
        </w:rPr>
      </w:pPr>
      <w:r w:rsidRPr="00557863">
        <w:rPr>
          <w:lang w:val="en-US"/>
        </w:rPr>
        <w:t xml:space="preserve">[IT09] </w:t>
      </w:r>
      <w:r w:rsidRPr="00557863">
        <w:rPr>
          <w:smallCaps/>
        </w:rPr>
        <w:t>Itoh, M., Tanaka, Y</w:t>
      </w:r>
      <w:r w:rsidR="00143A69" w:rsidRPr="00557863">
        <w:rPr>
          <w:smallCaps/>
        </w:rPr>
        <w:t>. 2009.</w:t>
      </w:r>
      <w:r w:rsidRPr="00557863">
        <w:rPr>
          <w:lang w:val="en-US"/>
        </w:rPr>
        <w:t xml:space="preserve"> </w:t>
      </w:r>
      <w:r w:rsidRPr="00557863">
        <w:rPr>
          <w:i/>
          <w:lang w:val="en-US"/>
        </w:rPr>
        <w:t>A Framework of Construc</w:t>
      </w:r>
      <w:r w:rsidRPr="00557863">
        <w:rPr>
          <w:i/>
          <w:lang w:val="en-US"/>
        </w:rPr>
        <w:t>t</w:t>
      </w:r>
      <w:r w:rsidRPr="00557863">
        <w:rPr>
          <w:i/>
          <w:lang w:val="en-US"/>
        </w:rPr>
        <w:t>ing Coordinated Multiple 3D Visualizations in Excel</w:t>
      </w:r>
      <w:r w:rsidRPr="00557863">
        <w:rPr>
          <w:lang w:val="en-US"/>
        </w:rPr>
        <w:t xml:space="preserve">. </w:t>
      </w:r>
      <w:proofErr w:type="gramStart"/>
      <w:r w:rsidR="00F13686" w:rsidRPr="00557863">
        <w:rPr>
          <w:lang w:val="en-US"/>
        </w:rPr>
        <w:t>Pr</w:t>
      </w:r>
      <w:r w:rsidR="00F13686" w:rsidRPr="00557863">
        <w:rPr>
          <w:lang w:val="en-US"/>
        </w:rPr>
        <w:t>o</w:t>
      </w:r>
      <w:r w:rsidR="00F13686" w:rsidRPr="00557863">
        <w:rPr>
          <w:lang w:val="en-US"/>
        </w:rPr>
        <w:t xml:space="preserve">ceedings of </w:t>
      </w:r>
      <w:r w:rsidRPr="00557863">
        <w:rPr>
          <w:lang w:val="en-US"/>
        </w:rPr>
        <w:t xml:space="preserve">IEEE </w:t>
      </w:r>
      <w:r w:rsidR="00F13686" w:rsidRPr="00557863">
        <w:rPr>
          <w:lang w:val="en-US"/>
        </w:rPr>
        <w:t>Information Visualization (IV)</w:t>
      </w:r>
      <w:r w:rsidRPr="00557863">
        <w:rPr>
          <w:lang w:val="en-US"/>
        </w:rPr>
        <w:t>.</w:t>
      </w:r>
      <w:proofErr w:type="gramEnd"/>
      <w:r w:rsidRPr="00557863">
        <w:rPr>
          <w:lang w:val="en-US"/>
        </w:rPr>
        <w:t xml:space="preserve"> </w:t>
      </w:r>
      <w:r w:rsidR="00F13686" w:rsidRPr="00557863">
        <w:rPr>
          <w:lang w:val="en-US"/>
        </w:rPr>
        <w:t>Barcel</w:t>
      </w:r>
      <w:r w:rsidR="00F13686" w:rsidRPr="00557863">
        <w:rPr>
          <w:lang w:val="en-US"/>
        </w:rPr>
        <w:t>o</w:t>
      </w:r>
      <w:r w:rsidR="00F13686" w:rsidRPr="00557863">
        <w:rPr>
          <w:lang w:val="en-US"/>
        </w:rPr>
        <w:t xml:space="preserve">na. </w:t>
      </w:r>
      <w:proofErr w:type="gramStart"/>
      <w:r w:rsidR="00F13686" w:rsidRPr="00557863">
        <w:rPr>
          <w:lang w:val="en-US"/>
        </w:rPr>
        <w:t>162-170</w:t>
      </w:r>
      <w:r w:rsidRPr="00557863">
        <w:rPr>
          <w:lang w:val="en-US"/>
        </w:rPr>
        <w:t>.</w:t>
      </w:r>
      <w:proofErr w:type="gramEnd"/>
    </w:p>
    <w:p w14:paraId="49BC5543" w14:textId="592ED63F" w:rsidR="009C4D6E" w:rsidRPr="00557863" w:rsidRDefault="00467F49" w:rsidP="009C4D6E">
      <w:pPr>
        <w:ind w:left="288" w:hanging="288"/>
        <w:rPr>
          <w:lang w:val="en-US"/>
        </w:rPr>
      </w:pPr>
      <w:r w:rsidRPr="00557863">
        <w:rPr>
          <w:smallCaps/>
          <w:lang w:val="en-US"/>
        </w:rPr>
        <w:t xml:space="preserve">[Lev94] </w:t>
      </w:r>
      <w:r w:rsidR="009C4D6E" w:rsidRPr="00557863">
        <w:rPr>
          <w:smallCaps/>
          <w:lang w:val="en-US"/>
        </w:rPr>
        <w:t xml:space="preserve">M. </w:t>
      </w:r>
      <w:proofErr w:type="spellStart"/>
      <w:r w:rsidR="009C4D6E" w:rsidRPr="00557863">
        <w:rPr>
          <w:smallCaps/>
          <w:lang w:val="en-US"/>
        </w:rPr>
        <w:t>Levoy</w:t>
      </w:r>
      <w:proofErr w:type="spellEnd"/>
      <w:r w:rsidR="009C4D6E" w:rsidRPr="00557863">
        <w:rPr>
          <w:lang w:val="en-US"/>
        </w:rPr>
        <w:t>,</w:t>
      </w:r>
      <w:r w:rsidR="00AA4AB2" w:rsidRPr="00557863">
        <w:rPr>
          <w:lang w:val="en-US"/>
        </w:rPr>
        <w:t xml:space="preserve"> 1994.</w:t>
      </w:r>
      <w:r w:rsidR="009C4D6E" w:rsidRPr="00557863">
        <w:rPr>
          <w:lang w:val="en-US"/>
        </w:rPr>
        <w:t xml:space="preserve"> </w:t>
      </w:r>
      <w:proofErr w:type="gramStart"/>
      <w:r w:rsidR="009C4D6E" w:rsidRPr="00557863">
        <w:rPr>
          <w:i/>
          <w:lang w:val="en-US"/>
        </w:rPr>
        <w:t>Spreadsheets for Images</w:t>
      </w:r>
      <w:r w:rsidR="00AA4AB2" w:rsidRPr="00557863">
        <w:rPr>
          <w:lang w:val="en-US"/>
        </w:rPr>
        <w:t>.</w:t>
      </w:r>
      <w:proofErr w:type="gramEnd"/>
      <w:r w:rsidR="009C4D6E" w:rsidRPr="00557863">
        <w:rPr>
          <w:lang w:val="en-US"/>
        </w:rPr>
        <w:t xml:space="preserve"> Proc</w:t>
      </w:r>
      <w:r w:rsidR="007C61E4" w:rsidRPr="00557863">
        <w:rPr>
          <w:lang w:val="en-US"/>
        </w:rPr>
        <w:t>ee</w:t>
      </w:r>
      <w:r w:rsidR="007C61E4" w:rsidRPr="00557863">
        <w:rPr>
          <w:lang w:val="en-US"/>
        </w:rPr>
        <w:t>d</w:t>
      </w:r>
      <w:r w:rsidR="007C61E4" w:rsidRPr="00557863">
        <w:rPr>
          <w:lang w:val="en-US"/>
        </w:rPr>
        <w:t xml:space="preserve">ings of </w:t>
      </w:r>
      <w:proofErr w:type="spellStart"/>
      <w:r w:rsidR="009C4D6E" w:rsidRPr="00557863">
        <w:rPr>
          <w:lang w:val="en-US"/>
        </w:rPr>
        <w:t>Siggraph</w:t>
      </w:r>
      <w:proofErr w:type="spellEnd"/>
      <w:r w:rsidR="009C4D6E" w:rsidRPr="00557863">
        <w:rPr>
          <w:lang w:val="en-US"/>
        </w:rPr>
        <w:t xml:space="preserve"> </w:t>
      </w:r>
      <w:r w:rsidR="007C61E4" w:rsidRPr="00557863">
        <w:rPr>
          <w:lang w:val="en-US"/>
        </w:rPr>
        <w:t>1994</w:t>
      </w:r>
      <w:r w:rsidR="009C4D6E" w:rsidRPr="00557863">
        <w:rPr>
          <w:lang w:val="en-US"/>
        </w:rPr>
        <w:t xml:space="preserve">, A. </w:t>
      </w:r>
      <w:proofErr w:type="spellStart"/>
      <w:r w:rsidR="009C4D6E" w:rsidRPr="00557863">
        <w:rPr>
          <w:lang w:val="en-US"/>
        </w:rPr>
        <w:t>Glassner</w:t>
      </w:r>
      <w:proofErr w:type="spellEnd"/>
      <w:r w:rsidR="009C4D6E" w:rsidRPr="00557863">
        <w:rPr>
          <w:lang w:val="en-US"/>
        </w:rPr>
        <w:t>, ed., ACM Press, New York</w:t>
      </w:r>
      <w:proofErr w:type="gramStart"/>
      <w:r w:rsidR="009C4D6E" w:rsidRPr="00557863">
        <w:rPr>
          <w:lang w:val="en-US"/>
        </w:rPr>
        <w:t>, ,</w:t>
      </w:r>
      <w:proofErr w:type="gramEnd"/>
      <w:r w:rsidR="009C4D6E" w:rsidRPr="00557863">
        <w:rPr>
          <w:lang w:val="en-US"/>
        </w:rPr>
        <w:t xml:space="preserve"> pp. 139-146.</w:t>
      </w:r>
    </w:p>
    <w:p w14:paraId="410EDC6F" w14:textId="459DFB47" w:rsidR="006C0486" w:rsidRPr="00557863" w:rsidRDefault="00C227BC" w:rsidP="009C4D6E">
      <w:pPr>
        <w:ind w:left="288" w:hanging="288"/>
        <w:rPr>
          <w:lang w:val="en-US"/>
        </w:rPr>
      </w:pPr>
      <w:r w:rsidRPr="00557863">
        <w:rPr>
          <w:smallCaps/>
          <w:lang w:val="en-US"/>
        </w:rPr>
        <w:t xml:space="preserve">[Lew90] </w:t>
      </w:r>
      <w:r w:rsidR="006C0486" w:rsidRPr="00557863">
        <w:rPr>
          <w:smallCaps/>
          <w:lang w:val="en-US"/>
        </w:rPr>
        <w:t>Lewis, C</w:t>
      </w:r>
      <w:r w:rsidR="006C0486" w:rsidRPr="00557863">
        <w:rPr>
          <w:lang w:val="en-US"/>
        </w:rPr>
        <w:t xml:space="preserve">. 1990. </w:t>
      </w:r>
      <w:proofErr w:type="spellStart"/>
      <w:r w:rsidR="006C0486" w:rsidRPr="00557863">
        <w:rPr>
          <w:i/>
          <w:lang w:val="en-US"/>
        </w:rPr>
        <w:t>NoPumpG</w:t>
      </w:r>
      <w:proofErr w:type="spellEnd"/>
      <w:r w:rsidR="006C0486" w:rsidRPr="00557863">
        <w:rPr>
          <w:i/>
          <w:lang w:val="en-US"/>
        </w:rPr>
        <w:t>: Creating interactive graphics with spreadsheet machinery</w:t>
      </w:r>
      <w:r w:rsidR="006C0486" w:rsidRPr="00557863">
        <w:rPr>
          <w:lang w:val="en-US"/>
        </w:rPr>
        <w:t>. In Visual Progra</w:t>
      </w:r>
      <w:r w:rsidR="006C0486" w:rsidRPr="00557863">
        <w:rPr>
          <w:lang w:val="en-US"/>
        </w:rPr>
        <w:t>m</w:t>
      </w:r>
      <w:r w:rsidR="006C0486" w:rsidRPr="00557863">
        <w:rPr>
          <w:lang w:val="en-US"/>
        </w:rPr>
        <w:t xml:space="preserve">ming Environments: Paradigms and Systems, E. </w:t>
      </w:r>
      <w:proofErr w:type="spellStart"/>
      <w:r w:rsidR="006C0486" w:rsidRPr="00557863">
        <w:rPr>
          <w:lang w:val="en-US"/>
        </w:rPr>
        <w:t>Glinert</w:t>
      </w:r>
      <w:proofErr w:type="spellEnd"/>
      <w:r w:rsidR="006C0486" w:rsidRPr="00557863">
        <w:rPr>
          <w:lang w:val="en-US"/>
        </w:rPr>
        <w:t>, Ed. IEEE Computer Society Press, Los Alamitos, Calif.,</w:t>
      </w:r>
      <w:r w:rsidR="00997118" w:rsidRPr="00557863">
        <w:rPr>
          <w:lang w:val="en-US"/>
        </w:rPr>
        <w:t xml:space="preserve"> </w:t>
      </w:r>
      <w:r w:rsidR="006C0486" w:rsidRPr="00557863">
        <w:rPr>
          <w:lang w:val="en-US"/>
        </w:rPr>
        <w:t>526-546.</w:t>
      </w:r>
    </w:p>
    <w:p w14:paraId="68091665" w14:textId="26A3950E" w:rsidR="0068153D" w:rsidRPr="00557863" w:rsidRDefault="0068153D" w:rsidP="002A120B">
      <w:pPr>
        <w:ind w:left="288" w:hanging="288"/>
        <w:rPr>
          <w:lang w:val="en-US"/>
        </w:rPr>
      </w:pPr>
      <w:r w:rsidRPr="00557863">
        <w:rPr>
          <w:smallCaps/>
          <w:lang w:val="en-US"/>
        </w:rPr>
        <w:t>[M</w:t>
      </w:r>
      <w:r w:rsidR="00F02F6F" w:rsidRPr="00557863">
        <w:rPr>
          <w:smallCaps/>
          <w:lang w:val="en-US"/>
        </w:rPr>
        <w:t>ac</w:t>
      </w:r>
      <w:r w:rsidRPr="00557863">
        <w:rPr>
          <w:smallCaps/>
          <w:lang w:val="en-US"/>
        </w:rPr>
        <w:t>86]</w:t>
      </w:r>
      <w:r w:rsidRPr="00557863">
        <w:rPr>
          <w:smallCaps/>
        </w:rPr>
        <w:t xml:space="preserve"> Mackinlay, J</w:t>
      </w:r>
      <w:r w:rsidRPr="00557863">
        <w:t xml:space="preserve">. </w:t>
      </w:r>
      <w:r w:rsidR="0011721C" w:rsidRPr="00557863">
        <w:t xml:space="preserve">1986. </w:t>
      </w:r>
      <w:proofErr w:type="gramStart"/>
      <w:r w:rsidRPr="00557863">
        <w:rPr>
          <w:i/>
          <w:lang w:val="en-US"/>
        </w:rPr>
        <w:t>Automating the Design of Graphical Presentations of Relational Information</w:t>
      </w:r>
      <w:r w:rsidRPr="00557863">
        <w:rPr>
          <w:lang w:val="en-US"/>
        </w:rPr>
        <w:t>.</w:t>
      </w:r>
      <w:proofErr w:type="gramEnd"/>
      <w:r w:rsidRPr="00557863">
        <w:rPr>
          <w:lang w:val="en-US"/>
        </w:rPr>
        <w:t xml:space="preserve"> </w:t>
      </w:r>
      <w:proofErr w:type="gramStart"/>
      <w:r w:rsidRPr="00557863">
        <w:rPr>
          <w:lang w:val="en-US"/>
        </w:rPr>
        <w:t>ACM Transactions on Graphics.</w:t>
      </w:r>
      <w:proofErr w:type="gramEnd"/>
      <w:r w:rsidRPr="00557863">
        <w:rPr>
          <w:lang w:val="en-US"/>
        </w:rPr>
        <w:t xml:space="preserve"> </w:t>
      </w:r>
      <w:proofErr w:type="gramStart"/>
      <w:r w:rsidRPr="00557863">
        <w:rPr>
          <w:lang w:val="en-US"/>
        </w:rPr>
        <w:t>5</w:t>
      </w:r>
      <w:r w:rsidR="004B7330" w:rsidRPr="00557863">
        <w:rPr>
          <w:lang w:val="en-US"/>
        </w:rPr>
        <w:t xml:space="preserve"> </w:t>
      </w:r>
      <w:r w:rsidR="0011721C" w:rsidRPr="00557863">
        <w:rPr>
          <w:lang w:val="en-US"/>
        </w:rPr>
        <w:t>(2, April)</w:t>
      </w:r>
      <w:r w:rsidR="004B7330" w:rsidRPr="00557863">
        <w:rPr>
          <w:lang w:val="en-US"/>
        </w:rPr>
        <w:t>.</w:t>
      </w:r>
      <w:proofErr w:type="gramEnd"/>
      <w:r w:rsidR="004B7330" w:rsidRPr="00557863">
        <w:rPr>
          <w:lang w:val="en-US"/>
        </w:rPr>
        <w:t xml:space="preserve"> </w:t>
      </w:r>
      <w:proofErr w:type="gramStart"/>
      <w:r w:rsidRPr="00557863">
        <w:rPr>
          <w:lang w:val="en-US"/>
        </w:rPr>
        <w:t>110-141.</w:t>
      </w:r>
      <w:proofErr w:type="gramEnd"/>
    </w:p>
    <w:p w14:paraId="5B54988B" w14:textId="25F8E2A7" w:rsidR="009C4D6E" w:rsidRPr="00557863" w:rsidRDefault="00466913" w:rsidP="009C4D6E">
      <w:pPr>
        <w:ind w:left="288" w:hanging="288"/>
        <w:rPr>
          <w:lang w:val="en-US"/>
        </w:rPr>
      </w:pPr>
      <w:r w:rsidRPr="00557863">
        <w:rPr>
          <w:smallCaps/>
          <w:lang w:val="en-US"/>
        </w:rPr>
        <w:t xml:space="preserve">[Pie86] </w:t>
      </w:r>
      <w:proofErr w:type="spellStart"/>
      <w:r w:rsidR="009C4D6E" w:rsidRPr="00557863">
        <w:rPr>
          <w:smallCaps/>
          <w:lang w:val="en-US"/>
        </w:rPr>
        <w:t>Piersol</w:t>
      </w:r>
      <w:proofErr w:type="spellEnd"/>
      <w:r w:rsidR="00CE6598" w:rsidRPr="00557863">
        <w:rPr>
          <w:smallCaps/>
          <w:lang w:val="en-US"/>
        </w:rPr>
        <w:t>, K.</w:t>
      </w:r>
      <w:r w:rsidR="009C4D6E" w:rsidRPr="00557863">
        <w:rPr>
          <w:lang w:val="en-US"/>
        </w:rPr>
        <w:t xml:space="preserve"> </w:t>
      </w:r>
      <w:r w:rsidR="006D1B2B" w:rsidRPr="00557863">
        <w:rPr>
          <w:lang w:val="en-US"/>
        </w:rPr>
        <w:t xml:space="preserve">1986. </w:t>
      </w:r>
      <w:r w:rsidR="009C4D6E" w:rsidRPr="00557863">
        <w:rPr>
          <w:i/>
          <w:lang w:val="en-US"/>
        </w:rPr>
        <w:t>Object</w:t>
      </w:r>
      <w:r w:rsidR="00856632" w:rsidRPr="00557863">
        <w:rPr>
          <w:i/>
          <w:lang w:val="en-US"/>
        </w:rPr>
        <w:t>-Oriented Spreadsheets: The Ana</w:t>
      </w:r>
      <w:r w:rsidR="009C4D6E" w:rsidRPr="00557863">
        <w:rPr>
          <w:i/>
          <w:lang w:val="en-US"/>
        </w:rPr>
        <w:t>lytic Spreadsheet Package</w:t>
      </w:r>
      <w:r w:rsidR="009C4D6E" w:rsidRPr="00557863">
        <w:rPr>
          <w:lang w:val="en-US"/>
        </w:rPr>
        <w:t>, Proc</w:t>
      </w:r>
      <w:r w:rsidR="00F13980" w:rsidRPr="00557863">
        <w:rPr>
          <w:lang w:val="en-US"/>
        </w:rPr>
        <w:t xml:space="preserve">eedings of the </w:t>
      </w:r>
      <w:r w:rsidR="009C4D6E" w:rsidRPr="00557863">
        <w:rPr>
          <w:lang w:val="en-US"/>
        </w:rPr>
        <w:t>Conf</w:t>
      </w:r>
      <w:r w:rsidR="00F13980" w:rsidRPr="00557863">
        <w:rPr>
          <w:lang w:val="en-US"/>
        </w:rPr>
        <w:t>e</w:t>
      </w:r>
      <w:r w:rsidR="00F13980" w:rsidRPr="00557863">
        <w:rPr>
          <w:lang w:val="en-US"/>
        </w:rPr>
        <w:t>r</w:t>
      </w:r>
      <w:r w:rsidR="00F13980" w:rsidRPr="00557863">
        <w:rPr>
          <w:lang w:val="en-US"/>
        </w:rPr>
        <w:t>ence</w:t>
      </w:r>
      <w:r w:rsidR="009C4D6E" w:rsidRPr="00557863">
        <w:rPr>
          <w:lang w:val="en-US"/>
        </w:rPr>
        <w:t xml:space="preserve"> on Object-Oriented Programming Systems, La</w:t>
      </w:r>
      <w:r w:rsidR="009C4D6E" w:rsidRPr="00557863">
        <w:rPr>
          <w:lang w:val="en-US"/>
        </w:rPr>
        <w:t>n</w:t>
      </w:r>
      <w:r w:rsidR="009C4D6E" w:rsidRPr="00557863">
        <w:rPr>
          <w:lang w:val="en-US"/>
        </w:rPr>
        <w:t>guages, and Applications (</w:t>
      </w:r>
      <w:proofErr w:type="spellStart"/>
      <w:r w:rsidR="009C4D6E" w:rsidRPr="00557863">
        <w:rPr>
          <w:lang w:val="en-US"/>
        </w:rPr>
        <w:t>Sigplan</w:t>
      </w:r>
      <w:proofErr w:type="spellEnd"/>
      <w:r w:rsidR="009C4D6E" w:rsidRPr="00557863">
        <w:rPr>
          <w:lang w:val="en-US"/>
        </w:rPr>
        <w:t xml:space="preserve"> Notices, Vol. 21, No. 11), N. </w:t>
      </w:r>
      <w:proofErr w:type="spellStart"/>
      <w:r w:rsidR="009C4D6E" w:rsidRPr="00557863">
        <w:rPr>
          <w:lang w:val="en-US"/>
        </w:rPr>
        <w:t>Meyrowitz</w:t>
      </w:r>
      <w:proofErr w:type="spellEnd"/>
      <w:r w:rsidR="00E44262" w:rsidRPr="00557863">
        <w:rPr>
          <w:lang w:val="en-US"/>
        </w:rPr>
        <w:t>,</w:t>
      </w:r>
      <w:r w:rsidR="009C4D6E" w:rsidRPr="00557863">
        <w:rPr>
          <w:lang w:val="en-US"/>
        </w:rPr>
        <w:t xml:space="preserve"> ed., ACM Press, New York, pp. 385-390.</w:t>
      </w:r>
    </w:p>
    <w:p w14:paraId="6A0664CE" w14:textId="686728C9" w:rsidR="009C4D6E" w:rsidRPr="00557863" w:rsidRDefault="00AE176B" w:rsidP="009C4D6E">
      <w:pPr>
        <w:ind w:left="288" w:hanging="288"/>
        <w:rPr>
          <w:lang w:val="en-US"/>
        </w:rPr>
      </w:pPr>
      <w:r w:rsidRPr="00557863">
        <w:rPr>
          <w:smallCaps/>
          <w:lang w:val="en-US"/>
        </w:rPr>
        <w:lastRenderedPageBreak/>
        <w:t xml:space="preserve">[RC94] </w:t>
      </w:r>
      <w:r w:rsidR="009C4D6E" w:rsidRPr="00557863">
        <w:rPr>
          <w:smallCaps/>
          <w:lang w:val="en-US"/>
        </w:rPr>
        <w:t xml:space="preserve">R. </w:t>
      </w:r>
      <w:proofErr w:type="spellStart"/>
      <w:r w:rsidR="009C4D6E" w:rsidRPr="00557863">
        <w:rPr>
          <w:smallCaps/>
          <w:lang w:val="en-US"/>
        </w:rPr>
        <w:t>Rao</w:t>
      </w:r>
      <w:proofErr w:type="spellEnd"/>
      <w:r w:rsidR="009C4D6E" w:rsidRPr="00557863">
        <w:rPr>
          <w:smallCaps/>
          <w:lang w:val="en-US"/>
        </w:rPr>
        <w:t xml:space="preserve"> and S.K. Card</w:t>
      </w:r>
      <w:r w:rsidR="002F6587" w:rsidRPr="00557863">
        <w:rPr>
          <w:lang w:val="en-US"/>
        </w:rPr>
        <w:t>.</w:t>
      </w:r>
      <w:r w:rsidR="00A236F9" w:rsidRPr="00557863">
        <w:rPr>
          <w:lang w:val="en-US"/>
        </w:rPr>
        <w:t xml:space="preserve"> </w:t>
      </w:r>
      <w:r w:rsidR="00503C86" w:rsidRPr="00557863">
        <w:rPr>
          <w:lang w:val="en-US"/>
        </w:rPr>
        <w:t>1</w:t>
      </w:r>
      <w:r w:rsidR="007B0057" w:rsidRPr="00557863">
        <w:rPr>
          <w:lang w:val="en-US"/>
        </w:rPr>
        <w:t>99</w:t>
      </w:r>
      <w:r w:rsidR="00503C86" w:rsidRPr="00557863">
        <w:rPr>
          <w:lang w:val="en-US"/>
        </w:rPr>
        <w:t>4</w:t>
      </w:r>
      <w:r w:rsidR="007B0057" w:rsidRPr="00557863">
        <w:rPr>
          <w:lang w:val="en-US"/>
        </w:rPr>
        <w:t>.</w:t>
      </w:r>
      <w:r w:rsidR="00503C86" w:rsidRPr="00557863">
        <w:rPr>
          <w:lang w:val="en-US"/>
        </w:rPr>
        <w:t xml:space="preserve"> </w:t>
      </w:r>
      <w:r w:rsidR="009C4D6E" w:rsidRPr="00557863">
        <w:rPr>
          <w:i/>
          <w:lang w:val="en-US"/>
        </w:rPr>
        <w:t>The Table Lens: Merging Graphical and Symbolic Representations in an Interactive Focus + Context Visualization for Tabular Information</w:t>
      </w:r>
      <w:r w:rsidR="009C4D6E" w:rsidRPr="00557863">
        <w:rPr>
          <w:lang w:val="en-US"/>
        </w:rPr>
        <w:t>, Proc</w:t>
      </w:r>
      <w:r w:rsidR="00A236F9" w:rsidRPr="00557863">
        <w:rPr>
          <w:lang w:val="en-US"/>
        </w:rPr>
        <w:t xml:space="preserve">eedings of the </w:t>
      </w:r>
      <w:r w:rsidR="009C4D6E" w:rsidRPr="00557863">
        <w:rPr>
          <w:lang w:val="en-US"/>
        </w:rPr>
        <w:t>Conf</w:t>
      </w:r>
      <w:r w:rsidR="00A236F9" w:rsidRPr="00557863">
        <w:rPr>
          <w:lang w:val="en-US"/>
        </w:rPr>
        <w:t>erence</w:t>
      </w:r>
      <w:r w:rsidR="009C4D6E" w:rsidRPr="00557863">
        <w:rPr>
          <w:lang w:val="en-US"/>
        </w:rPr>
        <w:t xml:space="preserve"> on Human Factors in Co</w:t>
      </w:r>
      <w:r w:rsidR="00A236F9" w:rsidRPr="00557863">
        <w:rPr>
          <w:lang w:val="en-US"/>
        </w:rPr>
        <w:t>m</w:t>
      </w:r>
      <w:r w:rsidR="009C4D6E" w:rsidRPr="00557863">
        <w:rPr>
          <w:lang w:val="en-US"/>
        </w:rPr>
        <w:t xml:space="preserve">puting Systems </w:t>
      </w:r>
      <w:r w:rsidR="00A236F9" w:rsidRPr="00557863">
        <w:rPr>
          <w:lang w:val="en-US"/>
        </w:rPr>
        <w:t>(CHI ‘94</w:t>
      </w:r>
      <w:r w:rsidR="009C4D6E" w:rsidRPr="00557863">
        <w:rPr>
          <w:lang w:val="en-US"/>
        </w:rPr>
        <w:t xml:space="preserve">), </w:t>
      </w:r>
      <w:r w:rsidR="00A236F9" w:rsidRPr="00557863">
        <w:rPr>
          <w:lang w:val="en-US"/>
        </w:rPr>
        <w:t>Boston, MA</w:t>
      </w:r>
      <w:r w:rsidR="009C4D6E" w:rsidRPr="00557863">
        <w:rPr>
          <w:lang w:val="en-US"/>
        </w:rPr>
        <w:t xml:space="preserve">, </w:t>
      </w:r>
      <w:r w:rsidR="00A236F9" w:rsidRPr="00557863">
        <w:rPr>
          <w:lang w:val="en-US"/>
        </w:rPr>
        <w:t>April</w:t>
      </w:r>
      <w:r w:rsidR="009C4D6E" w:rsidRPr="00557863">
        <w:rPr>
          <w:lang w:val="en-US"/>
        </w:rPr>
        <w:t>, pp. 318-322</w:t>
      </w:r>
    </w:p>
    <w:p w14:paraId="68091666" w14:textId="5F5FED29" w:rsidR="00F44A5F" w:rsidRPr="00557863" w:rsidRDefault="00F44A5F" w:rsidP="002A120B">
      <w:pPr>
        <w:ind w:left="288" w:hanging="288"/>
        <w:rPr>
          <w:i/>
          <w:lang w:val="en-US"/>
        </w:rPr>
      </w:pPr>
      <w:r w:rsidRPr="00557863">
        <w:rPr>
          <w:lang w:val="en-US"/>
        </w:rPr>
        <w:t xml:space="preserve">[RKM*94] </w:t>
      </w:r>
      <w:r w:rsidRPr="00557863">
        <w:rPr>
          <w:iCs/>
          <w:smallCaps/>
        </w:rPr>
        <w:t xml:space="preserve">Roth, S.F., Kolojejchick, J., Mattis, J., </w:t>
      </w:r>
      <w:r w:rsidRPr="00557863">
        <w:rPr>
          <w:smallCaps/>
          <w:lang w:val="en-US"/>
        </w:rPr>
        <w:t>and Goldstein, J</w:t>
      </w:r>
      <w:r w:rsidR="00ED729F" w:rsidRPr="00557863">
        <w:rPr>
          <w:lang w:val="en-US"/>
        </w:rPr>
        <w:t>.</w:t>
      </w:r>
      <w:r w:rsidR="00972E61" w:rsidRPr="00557863">
        <w:rPr>
          <w:lang w:val="en-US"/>
        </w:rPr>
        <w:t xml:space="preserve"> 1994</w:t>
      </w:r>
      <w:r w:rsidR="00A870C4" w:rsidRPr="00557863">
        <w:rPr>
          <w:lang w:val="en-US"/>
        </w:rPr>
        <w:t>.</w:t>
      </w:r>
      <w:r w:rsidRPr="00557863">
        <w:rPr>
          <w:i/>
          <w:lang w:val="en-US"/>
        </w:rPr>
        <w:t xml:space="preserve"> Interactive Graphic Design Using A</w:t>
      </w:r>
      <w:r w:rsidRPr="00557863">
        <w:rPr>
          <w:i/>
          <w:lang w:val="en-US"/>
        </w:rPr>
        <w:t>u</w:t>
      </w:r>
      <w:r w:rsidRPr="00557863">
        <w:rPr>
          <w:i/>
          <w:lang w:val="en-US"/>
        </w:rPr>
        <w:t xml:space="preserve">tomatic Presentation Knowledge. </w:t>
      </w:r>
      <w:proofErr w:type="gramStart"/>
      <w:r w:rsidRPr="00557863">
        <w:rPr>
          <w:lang w:val="en-US"/>
        </w:rPr>
        <w:t>Proceedings of the Co</w:t>
      </w:r>
      <w:r w:rsidRPr="00557863">
        <w:rPr>
          <w:lang w:val="en-US"/>
        </w:rPr>
        <w:t>n</w:t>
      </w:r>
      <w:r w:rsidRPr="00557863">
        <w:rPr>
          <w:lang w:val="en-US"/>
        </w:rPr>
        <w:t>ference on Human F</w:t>
      </w:r>
      <w:r w:rsidR="00E06737" w:rsidRPr="00557863">
        <w:rPr>
          <w:lang w:val="en-US"/>
        </w:rPr>
        <w:t>actors in Computing Systems (</w:t>
      </w:r>
      <w:r w:rsidRPr="00557863">
        <w:rPr>
          <w:lang w:val="en-US"/>
        </w:rPr>
        <w:t>CHI '94), Boston, MA, April, pp. 112-117.</w:t>
      </w:r>
      <w:proofErr w:type="gramEnd"/>
    </w:p>
    <w:p w14:paraId="68091667" w14:textId="567751B3" w:rsidR="00E06737" w:rsidRPr="00557863" w:rsidRDefault="00E06737" w:rsidP="00F439B5">
      <w:pPr>
        <w:ind w:left="288" w:hanging="288"/>
        <w:rPr>
          <w:i/>
          <w:lang w:val="en-US"/>
        </w:rPr>
      </w:pPr>
      <w:r w:rsidRPr="00557863">
        <w:rPr>
          <w:lang w:val="en-US"/>
        </w:rPr>
        <w:t xml:space="preserve">[SS09] </w:t>
      </w:r>
      <w:r w:rsidRPr="00557863">
        <w:rPr>
          <w:iCs/>
          <w:smallCaps/>
        </w:rPr>
        <w:t>Stewart, R. and schraelfel, m</w:t>
      </w:r>
      <w:r w:rsidR="00D05BF4" w:rsidRPr="00557863">
        <w:rPr>
          <w:i/>
          <w:iCs/>
        </w:rPr>
        <w:t>.</w:t>
      </w:r>
      <w:r w:rsidR="00A36F49" w:rsidRPr="00557863">
        <w:rPr>
          <w:i/>
          <w:iCs/>
        </w:rPr>
        <w:t xml:space="preserve"> </w:t>
      </w:r>
      <w:r w:rsidR="00A36F49" w:rsidRPr="00557863">
        <w:rPr>
          <w:iCs/>
        </w:rPr>
        <w:t>2009.</w:t>
      </w:r>
      <w:r w:rsidRPr="00557863">
        <w:rPr>
          <w:i/>
          <w:iCs/>
        </w:rPr>
        <w:t xml:space="preserve"> </w:t>
      </w:r>
      <w:r w:rsidRPr="00557863">
        <w:rPr>
          <w:i/>
          <w:lang w:val="en-US"/>
        </w:rPr>
        <w:t>Graph Sketc</w:t>
      </w:r>
      <w:r w:rsidRPr="00557863">
        <w:rPr>
          <w:i/>
          <w:lang w:val="en-US"/>
        </w:rPr>
        <w:t>h</w:t>
      </w:r>
      <w:r w:rsidRPr="00557863">
        <w:rPr>
          <w:i/>
          <w:lang w:val="en-US"/>
        </w:rPr>
        <w:t xml:space="preserve">er: Extending Illustration to Quantitative Graphs. </w:t>
      </w:r>
      <w:proofErr w:type="gramStart"/>
      <w:r w:rsidRPr="00557863">
        <w:rPr>
          <w:lang w:val="en-US"/>
        </w:rPr>
        <w:t>Procee</w:t>
      </w:r>
      <w:r w:rsidRPr="00557863">
        <w:rPr>
          <w:lang w:val="en-US"/>
        </w:rPr>
        <w:t>d</w:t>
      </w:r>
      <w:r w:rsidRPr="00557863">
        <w:rPr>
          <w:lang w:val="en-US"/>
        </w:rPr>
        <w:lastRenderedPageBreak/>
        <w:t xml:space="preserve">ings of the Conference on Human Factors in Computing Systems (CHI ‘09), Boston, MA, April, </w:t>
      </w:r>
      <w:r w:rsidR="00A54AD1" w:rsidRPr="00557863">
        <w:rPr>
          <w:color w:val="000000"/>
        </w:rPr>
        <w:t>1113-1116</w:t>
      </w:r>
      <w:r w:rsidRPr="00557863">
        <w:rPr>
          <w:i/>
          <w:lang w:val="en-US"/>
        </w:rPr>
        <w:t>.</w:t>
      </w:r>
      <w:proofErr w:type="gramEnd"/>
    </w:p>
    <w:p w14:paraId="1E18EBCD" w14:textId="1B73E44D" w:rsidR="0025439B" w:rsidRPr="00557863" w:rsidRDefault="0025439B" w:rsidP="00F439B5">
      <w:pPr>
        <w:ind w:left="288" w:hanging="288"/>
        <w:rPr>
          <w:lang w:val="en-US"/>
        </w:rPr>
      </w:pPr>
      <w:r w:rsidRPr="00557863">
        <w:rPr>
          <w:smallCaps/>
          <w:lang w:val="en-US"/>
        </w:rPr>
        <w:t xml:space="preserve">[Wea04] Weaver, </w:t>
      </w:r>
      <w:r w:rsidR="00E311B9" w:rsidRPr="00557863">
        <w:rPr>
          <w:smallCaps/>
          <w:lang w:val="en-US"/>
        </w:rPr>
        <w:t>C</w:t>
      </w:r>
      <w:r w:rsidRPr="00557863">
        <w:rPr>
          <w:lang w:val="en-US"/>
        </w:rPr>
        <w:t xml:space="preserve">. </w:t>
      </w:r>
      <w:r w:rsidR="006E6490" w:rsidRPr="00557863">
        <w:rPr>
          <w:lang w:val="en-US"/>
        </w:rPr>
        <w:t xml:space="preserve">2004. </w:t>
      </w:r>
      <w:r w:rsidRPr="00557863">
        <w:rPr>
          <w:i/>
          <w:lang w:val="en-US"/>
        </w:rPr>
        <w:t>Building Highly-Coordinated Vi</w:t>
      </w:r>
      <w:r w:rsidRPr="00557863">
        <w:rPr>
          <w:i/>
          <w:lang w:val="en-US"/>
        </w:rPr>
        <w:t>s</w:t>
      </w:r>
      <w:r w:rsidRPr="00557863">
        <w:rPr>
          <w:i/>
          <w:lang w:val="en-US"/>
        </w:rPr>
        <w:t>ualizations In Improvise</w:t>
      </w:r>
      <w:r w:rsidRPr="00557863">
        <w:rPr>
          <w:lang w:val="en-US"/>
        </w:rPr>
        <w:t>. Proceedings of the IEEE Symp</w:t>
      </w:r>
      <w:r w:rsidRPr="00557863">
        <w:rPr>
          <w:lang w:val="en-US"/>
        </w:rPr>
        <w:t>o</w:t>
      </w:r>
      <w:r w:rsidRPr="00557863">
        <w:rPr>
          <w:lang w:val="en-US"/>
        </w:rPr>
        <w:t>sium on Information Visualization, Austin, TX, October 2004.</w:t>
      </w:r>
    </w:p>
    <w:p w14:paraId="68091668" w14:textId="6A2731D3" w:rsidR="001F130B" w:rsidRPr="00557863" w:rsidRDefault="001F130B" w:rsidP="001F130B">
      <w:pPr>
        <w:ind w:left="288" w:hanging="288"/>
        <w:rPr>
          <w:lang w:val="en-US"/>
        </w:rPr>
      </w:pPr>
      <w:r w:rsidRPr="00557863">
        <w:rPr>
          <w:lang w:val="en-US"/>
        </w:rPr>
        <w:t xml:space="preserve">[Wic09] </w:t>
      </w:r>
      <w:r w:rsidRPr="00557863">
        <w:rPr>
          <w:iCs/>
          <w:smallCaps/>
        </w:rPr>
        <w:t>Wickham, H</w:t>
      </w:r>
      <w:r w:rsidR="00F1700E" w:rsidRPr="00557863">
        <w:rPr>
          <w:iCs/>
        </w:rPr>
        <w:t>.</w:t>
      </w:r>
      <w:r w:rsidR="0077214D" w:rsidRPr="00557863">
        <w:rPr>
          <w:iCs/>
        </w:rPr>
        <w:t xml:space="preserve"> 2009.</w:t>
      </w:r>
      <w:r w:rsidRPr="00557863">
        <w:rPr>
          <w:i/>
          <w:iCs/>
        </w:rPr>
        <w:t xml:space="preserve">  ggplot2: </w:t>
      </w:r>
      <w:r w:rsidRPr="00557863">
        <w:rPr>
          <w:i/>
          <w:lang w:val="en-US"/>
        </w:rPr>
        <w:t xml:space="preserve">elegant graphics for data analysis. </w:t>
      </w:r>
      <w:proofErr w:type="gramStart"/>
      <w:r w:rsidR="0077214D" w:rsidRPr="00557863">
        <w:rPr>
          <w:lang w:val="en-US"/>
        </w:rPr>
        <w:t>Springer</w:t>
      </w:r>
      <w:r w:rsidRPr="00557863">
        <w:rPr>
          <w:i/>
          <w:lang w:val="en-US"/>
        </w:rPr>
        <w:t>.</w:t>
      </w:r>
      <w:proofErr w:type="gramEnd"/>
    </w:p>
    <w:p w14:paraId="6809166A" w14:textId="0D80E554" w:rsidR="00C833BC" w:rsidRPr="00557863" w:rsidRDefault="001F130B" w:rsidP="006C2EA4">
      <w:pPr>
        <w:ind w:left="288" w:hanging="288"/>
        <w:rPr>
          <w:lang w:val="en-US"/>
        </w:rPr>
      </w:pPr>
      <w:r w:rsidRPr="00557863">
        <w:rPr>
          <w:lang w:val="en-US"/>
        </w:rPr>
        <w:t xml:space="preserve"> </w:t>
      </w:r>
      <w:r w:rsidR="00F439B5" w:rsidRPr="00557863">
        <w:rPr>
          <w:lang w:val="en-US"/>
        </w:rPr>
        <w:t xml:space="preserve">[Wil99] </w:t>
      </w:r>
      <w:r w:rsidR="00F439B5" w:rsidRPr="00557863">
        <w:rPr>
          <w:iCs/>
          <w:smallCaps/>
        </w:rPr>
        <w:t>Wilkinson, L</w:t>
      </w:r>
      <w:r w:rsidR="00993246" w:rsidRPr="00557863">
        <w:rPr>
          <w:i/>
          <w:iCs/>
        </w:rPr>
        <w:t>.</w:t>
      </w:r>
      <w:r w:rsidR="009A6E67" w:rsidRPr="00557863">
        <w:rPr>
          <w:i/>
          <w:iCs/>
        </w:rPr>
        <w:t xml:space="preserve"> </w:t>
      </w:r>
      <w:r w:rsidR="009A6E67" w:rsidRPr="00557863">
        <w:rPr>
          <w:iCs/>
        </w:rPr>
        <w:t>1999.</w:t>
      </w:r>
      <w:r w:rsidR="00F439B5" w:rsidRPr="00557863">
        <w:rPr>
          <w:i/>
          <w:iCs/>
        </w:rPr>
        <w:t xml:space="preserve"> </w:t>
      </w:r>
      <w:proofErr w:type="gramStart"/>
      <w:r w:rsidR="00F439B5" w:rsidRPr="00557863">
        <w:rPr>
          <w:i/>
          <w:lang w:val="en-US"/>
        </w:rPr>
        <w:t>The Grammar of Graphics.</w:t>
      </w:r>
      <w:proofErr w:type="gramEnd"/>
      <w:r w:rsidR="00F439B5" w:rsidRPr="00557863">
        <w:rPr>
          <w:i/>
          <w:lang w:val="en-US"/>
        </w:rPr>
        <w:t xml:space="preserve"> </w:t>
      </w:r>
      <w:proofErr w:type="gramStart"/>
      <w:r w:rsidR="00F439B5" w:rsidRPr="00557863">
        <w:rPr>
          <w:lang w:val="en-US"/>
        </w:rPr>
        <w:t>Springer</w:t>
      </w:r>
      <w:r w:rsidR="009A6E67" w:rsidRPr="00557863">
        <w:rPr>
          <w:lang w:val="en-US"/>
        </w:rPr>
        <w:t>.</w:t>
      </w:r>
      <w:proofErr w:type="gramEnd"/>
    </w:p>
    <w:p w14:paraId="3595DEAB" w14:textId="77777777" w:rsidR="006C2EA4" w:rsidRDefault="006C2EA4" w:rsidP="00686F05">
      <w:pPr>
        <w:rPr>
          <w:i/>
          <w:lang w:val="en-US"/>
        </w:rPr>
        <w:sectPr w:rsidR="006C2EA4" w:rsidSect="002F639B">
          <w:headerReference w:type="even" r:id="rId44"/>
          <w:headerReference w:type="default" r:id="rId45"/>
          <w:footerReference w:type="default" r:id="rId46"/>
          <w:footnotePr>
            <w:pos w:val="beneathText"/>
          </w:footnotePr>
          <w:type w:val="continuous"/>
          <w:pgSz w:w="11907" w:h="16840" w:code="9"/>
          <w:pgMar w:top="1411" w:right="1080" w:bottom="1411" w:left="1080" w:header="720" w:footer="720" w:gutter="0"/>
          <w:cols w:num="2" w:space="511" w:equalWidth="0">
            <w:col w:w="4618" w:space="511"/>
            <w:col w:w="4618"/>
          </w:cols>
        </w:sectPr>
      </w:pPr>
    </w:p>
    <w:p w14:paraId="7A5E44C3" w14:textId="2E609761" w:rsidR="006C2EA4" w:rsidRPr="006C2EA4" w:rsidRDefault="006C2EA4" w:rsidP="00686F05">
      <w:pPr>
        <w:ind w:firstLine="0"/>
        <w:rPr>
          <w:i/>
          <w:lang w:val="en-US"/>
        </w:rPr>
        <w:sectPr w:rsidR="006C2EA4" w:rsidRPr="006C2EA4" w:rsidSect="006C2EA4">
          <w:footnotePr>
            <w:pos w:val="beneathText"/>
          </w:footnotePr>
          <w:type w:val="continuous"/>
          <w:pgSz w:w="11907" w:h="16840" w:code="9"/>
          <w:pgMar w:top="1411" w:right="1080" w:bottom="1411" w:left="1080" w:header="720" w:footer="720" w:gutter="0"/>
          <w:cols w:space="511"/>
        </w:sectPr>
      </w:pPr>
    </w:p>
    <w:p w14:paraId="6809166B" w14:textId="518C15B2" w:rsidR="00C833BC" w:rsidRDefault="00C833BC" w:rsidP="006C2EA4">
      <w:pPr>
        <w:pStyle w:val="Caption"/>
        <w:ind w:firstLine="0"/>
        <w:rPr>
          <w:lang w:val="en-US"/>
        </w:rPr>
      </w:pPr>
    </w:p>
    <w:sectPr w:rsidR="00C833BC" w:rsidSect="006C2EA4">
      <w:footnotePr>
        <w:pos w:val="beneathText"/>
      </w:footnotePr>
      <w:type w:val="continuous"/>
      <w:pgSz w:w="11907" w:h="16840" w:code="9"/>
      <w:pgMar w:top="1411" w:right="1080" w:bottom="1411" w:left="1080" w:header="720" w:footer="720" w:gutter="0"/>
      <w:cols w:space="511" w:equalWidth="0">
        <w:col w:w="9438" w:space="51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15FB4" w14:textId="77777777" w:rsidR="00075EF9" w:rsidRDefault="00075EF9">
      <w:pPr>
        <w:spacing w:after="0"/>
      </w:pPr>
      <w:r>
        <w:separator/>
      </w:r>
    </w:p>
  </w:endnote>
  <w:endnote w:type="continuationSeparator" w:id="0">
    <w:p w14:paraId="65849313" w14:textId="77777777" w:rsidR="00075EF9" w:rsidRDefault="00075EF9">
      <w:pPr>
        <w:spacing w:after="0"/>
      </w:pPr>
      <w:r>
        <w:continuationSeparator/>
      </w:r>
    </w:p>
  </w:endnote>
  <w:endnote w:type="continuationNotice" w:id="1">
    <w:p w14:paraId="09D87DD1" w14:textId="77777777" w:rsidR="00075EF9" w:rsidRDefault="00075E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916BE" w14:textId="77777777" w:rsidR="003C72FA" w:rsidRDefault="003C72FA" w:rsidP="00CC7F56">
    <w:pPr>
      <w:pStyle w:val="Footer"/>
      <w:tabs>
        <w:tab w:val="clear" w:pos="4153"/>
        <w:tab w:val="clear" w:pos="8306"/>
        <w:tab w:val="left" w:pos="0"/>
        <w:tab w:val="left" w:pos="142"/>
      </w:tabs>
      <w:rPr>
        <w:sz w:val="16"/>
        <w:lang w:val="en-US"/>
      </w:rPr>
    </w:pPr>
  </w:p>
  <w:p w14:paraId="680916BF" w14:textId="77777777" w:rsidR="003C72FA" w:rsidRDefault="003C72FA" w:rsidP="00CC7F56">
    <w:pPr>
      <w:pStyle w:val="Footer"/>
      <w:tabs>
        <w:tab w:val="clear" w:pos="4153"/>
        <w:tab w:val="clear" w:pos="8306"/>
        <w:tab w:val="left" w:pos="0"/>
        <w:tab w:val="left" w:pos="142"/>
      </w:tabs>
      <w:rPr>
        <w:sz w:val="16"/>
        <w:lang w:val="en-US"/>
      </w:rPr>
    </w:pPr>
  </w:p>
  <w:p w14:paraId="680916C0" w14:textId="77777777" w:rsidR="003C72FA" w:rsidRDefault="003C72FA" w:rsidP="00CC7F56">
    <w:pPr>
      <w:pStyle w:val="Footer"/>
      <w:tabs>
        <w:tab w:val="clear" w:pos="4153"/>
        <w:tab w:val="clear" w:pos="8306"/>
        <w:tab w:val="left" w:pos="0"/>
        <w:tab w:val="left" w:pos="142"/>
      </w:tabs>
      <w:rPr>
        <w:sz w:val="16"/>
        <w:lang w:val="en-US"/>
      </w:rPr>
    </w:pPr>
    <w:r>
      <w:rPr>
        <w:sz w:val="16"/>
        <w:lang w:val="en-US"/>
      </w:rPr>
      <w:t xml:space="preserve">Submitted to </w:t>
    </w:r>
    <w:proofErr w:type="spellStart"/>
    <w:r>
      <w:rPr>
        <w:i/>
        <w:sz w:val="16"/>
        <w:lang w:val="en-US"/>
      </w:rPr>
      <w:t>EuroVis</w:t>
    </w:r>
    <w:proofErr w:type="spellEnd"/>
    <w:r>
      <w:rPr>
        <w:i/>
        <w:sz w:val="16"/>
        <w:lang w:val="en-US"/>
      </w:rPr>
      <w:t xml:space="preserve"> 2011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5AA19" w14:textId="77777777" w:rsidR="00075EF9" w:rsidRDefault="00075EF9">
      <w:pPr>
        <w:spacing w:after="0"/>
      </w:pPr>
      <w:r>
        <w:separator/>
      </w:r>
    </w:p>
  </w:footnote>
  <w:footnote w:type="continuationSeparator" w:id="0">
    <w:p w14:paraId="10F6111D" w14:textId="77777777" w:rsidR="00075EF9" w:rsidRDefault="00075EF9">
      <w:pPr>
        <w:spacing w:after="0"/>
      </w:pPr>
      <w:r>
        <w:continuationSeparator/>
      </w:r>
    </w:p>
  </w:footnote>
  <w:footnote w:type="continuationNotice" w:id="1">
    <w:p w14:paraId="2561DBC3" w14:textId="77777777" w:rsidR="00075EF9" w:rsidRDefault="00075EF9">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916B9" w14:textId="77777777" w:rsidR="003C72FA" w:rsidRDefault="003C72FA" w:rsidP="00FA5F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916BA" w14:textId="211149E8" w:rsidR="003C72FA" w:rsidRDefault="003C72FA" w:rsidP="00BE232A">
    <w:pPr>
      <w:autoSpaceDE w:val="0"/>
      <w:autoSpaceDN w:val="0"/>
      <w:adjustRightInd w:val="0"/>
      <w:spacing w:after="0"/>
      <w:ind w:firstLine="0"/>
      <w:jc w:val="center"/>
      <w:rPr>
        <w:sz w:val="20"/>
        <w:lang w:val="en-US"/>
      </w:rPr>
    </w:pPr>
    <w:r>
      <w:rPr>
        <w:i/>
        <w:iCs/>
        <w:sz w:val="16"/>
        <w:szCs w:val="16"/>
        <w:lang w:val="en-US"/>
      </w:rPr>
      <w:t>Vis-à-vis: A Visual Language for Spreadsheet Visualizations</w:t>
    </w:r>
  </w:p>
  <w:p w14:paraId="680916BB" w14:textId="77777777" w:rsidR="003C72FA" w:rsidRPr="00BE232A" w:rsidRDefault="003C72FA">
    <w:pP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916BD" w14:textId="77777777" w:rsidR="003C72FA" w:rsidRDefault="003C72FA">
    <w:pPr>
      <w:autoSpaceDE w:val="0"/>
      <w:autoSpaceDN w:val="0"/>
      <w:adjustRightInd w:val="0"/>
      <w:spacing w:after="0"/>
      <w:ind w:firstLine="0"/>
      <w:jc w:val="lef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A584D8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16AFD00"/>
    <w:lvl w:ilvl="0">
      <w:start w:val="1"/>
      <w:numFmt w:val="decimal"/>
      <w:pStyle w:val="ListNumber4"/>
      <w:lvlText w:val="%1."/>
      <w:lvlJc w:val="left"/>
      <w:pPr>
        <w:tabs>
          <w:tab w:val="num" w:pos="1209"/>
        </w:tabs>
        <w:ind w:left="1209" w:hanging="360"/>
      </w:pPr>
    </w:lvl>
  </w:abstractNum>
  <w:abstractNum w:abstractNumId="2">
    <w:nsid w:val="FFFFFF7F"/>
    <w:multiLevelType w:val="singleLevel"/>
    <w:tmpl w:val="6F9C348E"/>
    <w:lvl w:ilvl="0">
      <w:start w:val="1"/>
      <w:numFmt w:val="decimal"/>
      <w:pStyle w:val="ListNumber2"/>
      <w:lvlText w:val="%1."/>
      <w:lvlJc w:val="left"/>
      <w:pPr>
        <w:tabs>
          <w:tab w:val="num" w:pos="643"/>
        </w:tabs>
        <w:ind w:left="643" w:hanging="360"/>
      </w:pPr>
    </w:lvl>
  </w:abstractNum>
  <w:abstractNum w:abstractNumId="3">
    <w:nsid w:val="FFFFFF80"/>
    <w:multiLevelType w:val="singleLevel"/>
    <w:tmpl w:val="A1642282"/>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298071E0"/>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7CE6FE14"/>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3"/>
    <w:multiLevelType w:val="singleLevel"/>
    <w:tmpl w:val="2ADA339E"/>
    <w:lvl w:ilvl="0">
      <w:start w:val="1"/>
      <w:numFmt w:val="bullet"/>
      <w:pStyle w:val="ListBullet2"/>
      <w:lvlText w:val=""/>
      <w:lvlJc w:val="left"/>
      <w:pPr>
        <w:tabs>
          <w:tab w:val="num" w:pos="643"/>
        </w:tabs>
        <w:ind w:left="643" w:hanging="360"/>
      </w:pPr>
      <w:rPr>
        <w:rFonts w:ascii="Symbol" w:hAnsi="Symbol" w:hint="default"/>
      </w:rPr>
    </w:lvl>
  </w:abstractNum>
  <w:abstractNum w:abstractNumId="7">
    <w:nsid w:val="FFFFFF88"/>
    <w:multiLevelType w:val="singleLevel"/>
    <w:tmpl w:val="3AB6DE2A"/>
    <w:lvl w:ilvl="0">
      <w:start w:val="1"/>
      <w:numFmt w:val="decimal"/>
      <w:pStyle w:val="ListNumber"/>
      <w:lvlText w:val="%1."/>
      <w:lvlJc w:val="left"/>
      <w:pPr>
        <w:tabs>
          <w:tab w:val="num" w:pos="360"/>
        </w:tabs>
        <w:ind w:left="360" w:hanging="360"/>
      </w:pPr>
    </w:lvl>
  </w:abstractNum>
  <w:abstractNum w:abstractNumId="8">
    <w:nsid w:val="FFFFFF89"/>
    <w:multiLevelType w:val="singleLevel"/>
    <w:tmpl w:val="3D36ADFE"/>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FFFFFFFB"/>
    <w:multiLevelType w:val="multilevel"/>
    <w:tmpl w:val="E44006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04C40F73"/>
    <w:multiLevelType w:val="hybridMultilevel"/>
    <w:tmpl w:val="C8505212"/>
    <w:lvl w:ilvl="0" w:tplc="69CC10A4">
      <w:numFmt w:val="bullet"/>
      <w:lvlText w:val=""/>
      <w:lvlJc w:val="left"/>
      <w:pPr>
        <w:ind w:left="530" w:hanging="360"/>
      </w:pPr>
      <w:rPr>
        <w:rFonts w:ascii="Wingdings" w:eastAsia="Times New Roman" w:hAnsi="Wingdings"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1">
    <w:nsid w:val="0D1A45A5"/>
    <w:multiLevelType w:val="multilevel"/>
    <w:tmpl w:val="322C2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0C0CF0"/>
    <w:multiLevelType w:val="multilevel"/>
    <w:tmpl w:val="E286AE66"/>
    <w:lvl w:ilvl="0">
      <w:start w:val="1"/>
      <w:numFmt w:val="decimal"/>
      <w:pStyle w:val="Heading1Introductio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27D836B8"/>
    <w:multiLevelType w:val="singleLevel"/>
    <w:tmpl w:val="1346B6B8"/>
    <w:lvl w:ilvl="0">
      <w:start w:val="1"/>
      <w:numFmt w:val="bullet"/>
      <w:pStyle w:val="Bullet"/>
      <w:lvlText w:val=""/>
      <w:lvlJc w:val="left"/>
      <w:pPr>
        <w:tabs>
          <w:tab w:val="num" w:pos="360"/>
        </w:tabs>
        <w:ind w:left="57" w:hanging="57"/>
      </w:pPr>
      <w:rPr>
        <w:rFonts w:ascii="Wingdings" w:hAnsi="Wingdings" w:hint="default"/>
      </w:rPr>
    </w:lvl>
  </w:abstractNum>
  <w:abstractNum w:abstractNumId="14">
    <w:nsid w:val="48523C5E"/>
    <w:multiLevelType w:val="hybridMultilevel"/>
    <w:tmpl w:val="3514AE94"/>
    <w:lvl w:ilvl="0" w:tplc="70CCDAF4">
      <w:start w:val="1"/>
      <w:numFmt w:val="bullet"/>
      <w:lvlText w:val=""/>
      <w:lvlJc w:val="left"/>
      <w:pPr>
        <w:tabs>
          <w:tab w:val="num" w:pos="2577"/>
        </w:tabs>
        <w:ind w:left="2577" w:hanging="360"/>
      </w:pPr>
      <w:rPr>
        <w:rFonts w:ascii="Symbol" w:hAnsi="Symbol" w:hint="default"/>
        <w:color w:val="auto"/>
        <w:sz w:val="16"/>
        <w:szCs w:val="16"/>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15">
    <w:nsid w:val="4DC66914"/>
    <w:multiLevelType w:val="hybridMultilevel"/>
    <w:tmpl w:val="8CF2B046"/>
    <w:lvl w:ilvl="0" w:tplc="044AD400">
      <w:numFmt w:val="bullet"/>
      <w:lvlText w:val=""/>
      <w:lvlJc w:val="left"/>
      <w:pPr>
        <w:ind w:left="530" w:hanging="360"/>
      </w:pPr>
      <w:rPr>
        <w:rFonts w:ascii="Symbol" w:eastAsia="Times New Roman" w:hAnsi="Symbol"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6">
    <w:nsid w:val="663550F4"/>
    <w:multiLevelType w:val="hybridMultilevel"/>
    <w:tmpl w:val="BC86FB66"/>
    <w:lvl w:ilvl="0" w:tplc="5F4AF7B0">
      <w:numFmt w:val="bullet"/>
      <w:lvlText w:val=""/>
      <w:lvlJc w:val="left"/>
      <w:pPr>
        <w:ind w:left="530" w:hanging="360"/>
      </w:pPr>
      <w:rPr>
        <w:rFonts w:ascii="Symbol" w:eastAsia="Times New Roman" w:hAnsi="Symbol"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7">
    <w:nsid w:val="6D8D126A"/>
    <w:multiLevelType w:val="multilevel"/>
    <w:tmpl w:val="30C0ABBC"/>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74151CC5"/>
    <w:multiLevelType w:val="multilevel"/>
    <w:tmpl w:val="CA0A6D5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9"/>
  </w:num>
  <w:num w:numId="2">
    <w:abstractNumId w:val="13"/>
  </w:num>
  <w:num w:numId="3">
    <w:abstractNumId w:val="8"/>
  </w:num>
  <w:num w:numId="4">
    <w:abstractNumId w:val="6"/>
  </w:num>
  <w:num w:numId="5">
    <w:abstractNumId w:val="5"/>
  </w:num>
  <w:num w:numId="6">
    <w:abstractNumId w:val="4"/>
  </w:num>
  <w:num w:numId="7">
    <w:abstractNumId w:val="3"/>
  </w:num>
  <w:num w:numId="8">
    <w:abstractNumId w:val="7"/>
  </w:num>
  <w:num w:numId="9">
    <w:abstractNumId w:val="2"/>
  </w:num>
  <w:num w:numId="10">
    <w:abstractNumId w:val="1"/>
  </w:num>
  <w:num w:numId="11">
    <w:abstractNumId w:val="0"/>
  </w:num>
  <w:num w:numId="12">
    <w:abstractNumId w:val="14"/>
  </w:num>
  <w:num w:numId="13">
    <w:abstractNumId w:val="9"/>
  </w:num>
  <w:num w:numId="14">
    <w:abstractNumId w:val="16"/>
  </w:num>
  <w:num w:numId="15">
    <w:abstractNumId w:val="15"/>
  </w:num>
  <w:num w:numId="16">
    <w:abstractNumId w:val="10"/>
  </w:num>
  <w:num w:numId="17">
    <w:abstractNumId w:val="9"/>
  </w:num>
  <w:num w:numId="18">
    <w:abstractNumId w:val="9"/>
  </w:num>
  <w:num w:numId="19">
    <w:abstractNumId w:val="12"/>
  </w:num>
  <w:num w:numId="20">
    <w:abstractNumId w:val="17"/>
  </w:num>
  <w:num w:numId="21">
    <w:abstractNumId w:val="18"/>
  </w:num>
  <w:num w:numId="2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8DA"/>
    <w:rsid w:val="00002FC5"/>
    <w:rsid w:val="00004CF3"/>
    <w:rsid w:val="00004DB9"/>
    <w:rsid w:val="00005030"/>
    <w:rsid w:val="00005A0A"/>
    <w:rsid w:val="00007291"/>
    <w:rsid w:val="00015944"/>
    <w:rsid w:val="00015C61"/>
    <w:rsid w:val="00016243"/>
    <w:rsid w:val="00017D4E"/>
    <w:rsid w:val="0002014D"/>
    <w:rsid w:val="00022051"/>
    <w:rsid w:val="00022EA1"/>
    <w:rsid w:val="0003006C"/>
    <w:rsid w:val="0003176E"/>
    <w:rsid w:val="00031A82"/>
    <w:rsid w:val="000328F1"/>
    <w:rsid w:val="0003529D"/>
    <w:rsid w:val="00035411"/>
    <w:rsid w:val="00035525"/>
    <w:rsid w:val="0004066C"/>
    <w:rsid w:val="000416E2"/>
    <w:rsid w:val="00041BAB"/>
    <w:rsid w:val="00052702"/>
    <w:rsid w:val="00052B79"/>
    <w:rsid w:val="00054FAA"/>
    <w:rsid w:val="000554C6"/>
    <w:rsid w:val="000609E1"/>
    <w:rsid w:val="00063C03"/>
    <w:rsid w:val="000649C5"/>
    <w:rsid w:val="0006562B"/>
    <w:rsid w:val="000713A0"/>
    <w:rsid w:val="000726BC"/>
    <w:rsid w:val="0007364F"/>
    <w:rsid w:val="00073677"/>
    <w:rsid w:val="00075EF9"/>
    <w:rsid w:val="0007627C"/>
    <w:rsid w:val="00081927"/>
    <w:rsid w:val="000820AD"/>
    <w:rsid w:val="00084B78"/>
    <w:rsid w:val="00085659"/>
    <w:rsid w:val="0008673A"/>
    <w:rsid w:val="00091895"/>
    <w:rsid w:val="00091D61"/>
    <w:rsid w:val="000A0538"/>
    <w:rsid w:val="000A0D17"/>
    <w:rsid w:val="000A0E53"/>
    <w:rsid w:val="000A0E85"/>
    <w:rsid w:val="000B033D"/>
    <w:rsid w:val="000B0C2D"/>
    <w:rsid w:val="000B11A5"/>
    <w:rsid w:val="000B24E4"/>
    <w:rsid w:val="000B3BF7"/>
    <w:rsid w:val="000B5EB6"/>
    <w:rsid w:val="000C0DFD"/>
    <w:rsid w:val="000C12EB"/>
    <w:rsid w:val="000C1347"/>
    <w:rsid w:val="000C23F9"/>
    <w:rsid w:val="000C53A4"/>
    <w:rsid w:val="000C58CC"/>
    <w:rsid w:val="000C6072"/>
    <w:rsid w:val="000D23AD"/>
    <w:rsid w:val="000D74F4"/>
    <w:rsid w:val="000D77AD"/>
    <w:rsid w:val="000E3349"/>
    <w:rsid w:val="000E4C48"/>
    <w:rsid w:val="000E6732"/>
    <w:rsid w:val="00107CFD"/>
    <w:rsid w:val="00111244"/>
    <w:rsid w:val="001113DD"/>
    <w:rsid w:val="00112EF2"/>
    <w:rsid w:val="00114928"/>
    <w:rsid w:val="0011721C"/>
    <w:rsid w:val="00122223"/>
    <w:rsid w:val="00130989"/>
    <w:rsid w:val="00134BF2"/>
    <w:rsid w:val="0013545C"/>
    <w:rsid w:val="00143732"/>
    <w:rsid w:val="00143A69"/>
    <w:rsid w:val="0014405B"/>
    <w:rsid w:val="001471CB"/>
    <w:rsid w:val="00154C12"/>
    <w:rsid w:val="00155605"/>
    <w:rsid w:val="00157185"/>
    <w:rsid w:val="00161F89"/>
    <w:rsid w:val="00166C96"/>
    <w:rsid w:val="0017016C"/>
    <w:rsid w:val="00172189"/>
    <w:rsid w:val="00181636"/>
    <w:rsid w:val="00182804"/>
    <w:rsid w:val="0018525C"/>
    <w:rsid w:val="00186C64"/>
    <w:rsid w:val="00186F41"/>
    <w:rsid w:val="00193B87"/>
    <w:rsid w:val="00196BC5"/>
    <w:rsid w:val="00196DFD"/>
    <w:rsid w:val="00197115"/>
    <w:rsid w:val="00197140"/>
    <w:rsid w:val="00197FE6"/>
    <w:rsid w:val="001A2807"/>
    <w:rsid w:val="001A3E3E"/>
    <w:rsid w:val="001A578E"/>
    <w:rsid w:val="001A72E3"/>
    <w:rsid w:val="001B09CC"/>
    <w:rsid w:val="001B18CE"/>
    <w:rsid w:val="001B55A4"/>
    <w:rsid w:val="001C2750"/>
    <w:rsid w:val="001C516E"/>
    <w:rsid w:val="001C615A"/>
    <w:rsid w:val="001C6A62"/>
    <w:rsid w:val="001C6DCA"/>
    <w:rsid w:val="001D0C1B"/>
    <w:rsid w:val="001D1184"/>
    <w:rsid w:val="001D12FB"/>
    <w:rsid w:val="001D2974"/>
    <w:rsid w:val="001E055B"/>
    <w:rsid w:val="001E1E49"/>
    <w:rsid w:val="001E1EF0"/>
    <w:rsid w:val="001E33AF"/>
    <w:rsid w:val="001E3C65"/>
    <w:rsid w:val="001E55F0"/>
    <w:rsid w:val="001E7A07"/>
    <w:rsid w:val="001E7BF7"/>
    <w:rsid w:val="001E7CEC"/>
    <w:rsid w:val="001F130B"/>
    <w:rsid w:val="001F1450"/>
    <w:rsid w:val="001F3DC8"/>
    <w:rsid w:val="001F7CED"/>
    <w:rsid w:val="002012E1"/>
    <w:rsid w:val="002159BB"/>
    <w:rsid w:val="00217820"/>
    <w:rsid w:val="0022057A"/>
    <w:rsid w:val="002217F1"/>
    <w:rsid w:val="00221955"/>
    <w:rsid w:val="00226B3F"/>
    <w:rsid w:val="00233A55"/>
    <w:rsid w:val="00234B42"/>
    <w:rsid w:val="00237D99"/>
    <w:rsid w:val="0024143F"/>
    <w:rsid w:val="00247070"/>
    <w:rsid w:val="00251B20"/>
    <w:rsid w:val="0025375D"/>
    <w:rsid w:val="0025439B"/>
    <w:rsid w:val="002560D9"/>
    <w:rsid w:val="002570E3"/>
    <w:rsid w:val="00260246"/>
    <w:rsid w:val="00260E71"/>
    <w:rsid w:val="00264CE1"/>
    <w:rsid w:val="00265116"/>
    <w:rsid w:val="00265D9F"/>
    <w:rsid w:val="00266463"/>
    <w:rsid w:val="002671FA"/>
    <w:rsid w:val="002710F7"/>
    <w:rsid w:val="00273843"/>
    <w:rsid w:val="00273A70"/>
    <w:rsid w:val="00281EA7"/>
    <w:rsid w:val="00282F38"/>
    <w:rsid w:val="00283CF2"/>
    <w:rsid w:val="00287C27"/>
    <w:rsid w:val="0029051D"/>
    <w:rsid w:val="00291EA4"/>
    <w:rsid w:val="00292B94"/>
    <w:rsid w:val="0029495C"/>
    <w:rsid w:val="002A120B"/>
    <w:rsid w:val="002A5811"/>
    <w:rsid w:val="002A583A"/>
    <w:rsid w:val="002A5E22"/>
    <w:rsid w:val="002B16B1"/>
    <w:rsid w:val="002B5358"/>
    <w:rsid w:val="002B66AD"/>
    <w:rsid w:val="002B792E"/>
    <w:rsid w:val="002C06E3"/>
    <w:rsid w:val="002C1650"/>
    <w:rsid w:val="002C3560"/>
    <w:rsid w:val="002C3CDE"/>
    <w:rsid w:val="002C44C0"/>
    <w:rsid w:val="002C4788"/>
    <w:rsid w:val="002C50FA"/>
    <w:rsid w:val="002D21A3"/>
    <w:rsid w:val="002D53D9"/>
    <w:rsid w:val="002D5E0F"/>
    <w:rsid w:val="002E0FF9"/>
    <w:rsid w:val="002E2304"/>
    <w:rsid w:val="002E4831"/>
    <w:rsid w:val="002E66F1"/>
    <w:rsid w:val="002F00B7"/>
    <w:rsid w:val="002F55F1"/>
    <w:rsid w:val="002F61D5"/>
    <w:rsid w:val="002F6331"/>
    <w:rsid w:val="002F639B"/>
    <w:rsid w:val="002F6587"/>
    <w:rsid w:val="002F67F5"/>
    <w:rsid w:val="003010E0"/>
    <w:rsid w:val="0030675E"/>
    <w:rsid w:val="00306CF3"/>
    <w:rsid w:val="00310941"/>
    <w:rsid w:val="00312A1F"/>
    <w:rsid w:val="003164E2"/>
    <w:rsid w:val="00326507"/>
    <w:rsid w:val="0032734F"/>
    <w:rsid w:val="0033141D"/>
    <w:rsid w:val="00333038"/>
    <w:rsid w:val="003409BB"/>
    <w:rsid w:val="003462C7"/>
    <w:rsid w:val="00346469"/>
    <w:rsid w:val="00352636"/>
    <w:rsid w:val="003540DF"/>
    <w:rsid w:val="003620B4"/>
    <w:rsid w:val="00363762"/>
    <w:rsid w:val="00363C18"/>
    <w:rsid w:val="00363E29"/>
    <w:rsid w:val="003727E4"/>
    <w:rsid w:val="003730A5"/>
    <w:rsid w:val="0037328F"/>
    <w:rsid w:val="003735F3"/>
    <w:rsid w:val="003756FF"/>
    <w:rsid w:val="00376E97"/>
    <w:rsid w:val="00377056"/>
    <w:rsid w:val="00380DF0"/>
    <w:rsid w:val="00382F02"/>
    <w:rsid w:val="00387013"/>
    <w:rsid w:val="00391A64"/>
    <w:rsid w:val="00393B7E"/>
    <w:rsid w:val="003950F4"/>
    <w:rsid w:val="003955A7"/>
    <w:rsid w:val="00396EBA"/>
    <w:rsid w:val="00396F31"/>
    <w:rsid w:val="003A11A4"/>
    <w:rsid w:val="003A1293"/>
    <w:rsid w:val="003A191A"/>
    <w:rsid w:val="003A20E1"/>
    <w:rsid w:val="003A558F"/>
    <w:rsid w:val="003A6AF6"/>
    <w:rsid w:val="003A7C56"/>
    <w:rsid w:val="003B4116"/>
    <w:rsid w:val="003B5543"/>
    <w:rsid w:val="003C1700"/>
    <w:rsid w:val="003C17C1"/>
    <w:rsid w:val="003C1D2B"/>
    <w:rsid w:val="003C28F0"/>
    <w:rsid w:val="003C29C5"/>
    <w:rsid w:val="003C52BB"/>
    <w:rsid w:val="003C64D3"/>
    <w:rsid w:val="003C72FA"/>
    <w:rsid w:val="003C782A"/>
    <w:rsid w:val="003D5A49"/>
    <w:rsid w:val="003D5A71"/>
    <w:rsid w:val="003E281B"/>
    <w:rsid w:val="003E328A"/>
    <w:rsid w:val="003E4234"/>
    <w:rsid w:val="003E5173"/>
    <w:rsid w:val="003E5B57"/>
    <w:rsid w:val="003F0911"/>
    <w:rsid w:val="003F112C"/>
    <w:rsid w:val="003F1D1F"/>
    <w:rsid w:val="003F3950"/>
    <w:rsid w:val="003F61CE"/>
    <w:rsid w:val="00401C8A"/>
    <w:rsid w:val="00405D45"/>
    <w:rsid w:val="00405EEB"/>
    <w:rsid w:val="004102B0"/>
    <w:rsid w:val="00410F42"/>
    <w:rsid w:val="00415B3C"/>
    <w:rsid w:val="0041771E"/>
    <w:rsid w:val="00422660"/>
    <w:rsid w:val="004241C9"/>
    <w:rsid w:val="004273DC"/>
    <w:rsid w:val="00431DD7"/>
    <w:rsid w:val="00431EE8"/>
    <w:rsid w:val="00432D84"/>
    <w:rsid w:val="00432F62"/>
    <w:rsid w:val="0043752D"/>
    <w:rsid w:val="00445155"/>
    <w:rsid w:val="0044554A"/>
    <w:rsid w:val="0045046D"/>
    <w:rsid w:val="00455CA6"/>
    <w:rsid w:val="00463B50"/>
    <w:rsid w:val="00466448"/>
    <w:rsid w:val="00466913"/>
    <w:rsid w:val="00467F49"/>
    <w:rsid w:val="00472A87"/>
    <w:rsid w:val="00475118"/>
    <w:rsid w:val="004753FC"/>
    <w:rsid w:val="00477E7B"/>
    <w:rsid w:val="00482F1F"/>
    <w:rsid w:val="00486ECD"/>
    <w:rsid w:val="00487BE1"/>
    <w:rsid w:val="00491C64"/>
    <w:rsid w:val="0049347E"/>
    <w:rsid w:val="0049383B"/>
    <w:rsid w:val="00493C0F"/>
    <w:rsid w:val="004A54A9"/>
    <w:rsid w:val="004A6192"/>
    <w:rsid w:val="004A69A6"/>
    <w:rsid w:val="004B1175"/>
    <w:rsid w:val="004B6E63"/>
    <w:rsid w:val="004B6F6C"/>
    <w:rsid w:val="004B7330"/>
    <w:rsid w:val="004C0CCA"/>
    <w:rsid w:val="004C23B9"/>
    <w:rsid w:val="004C4298"/>
    <w:rsid w:val="004C4317"/>
    <w:rsid w:val="004D1F8B"/>
    <w:rsid w:val="004D5646"/>
    <w:rsid w:val="004D7275"/>
    <w:rsid w:val="004E0503"/>
    <w:rsid w:val="004E09C7"/>
    <w:rsid w:val="004E248C"/>
    <w:rsid w:val="004E2B71"/>
    <w:rsid w:val="004E2E82"/>
    <w:rsid w:val="004E770A"/>
    <w:rsid w:val="004F142F"/>
    <w:rsid w:val="004F173D"/>
    <w:rsid w:val="004F4622"/>
    <w:rsid w:val="004F693F"/>
    <w:rsid w:val="00501B7E"/>
    <w:rsid w:val="005029CB"/>
    <w:rsid w:val="00503C86"/>
    <w:rsid w:val="00503D8A"/>
    <w:rsid w:val="00514F1A"/>
    <w:rsid w:val="00515956"/>
    <w:rsid w:val="00517CE8"/>
    <w:rsid w:val="00521503"/>
    <w:rsid w:val="005221DB"/>
    <w:rsid w:val="00522963"/>
    <w:rsid w:val="00523FE4"/>
    <w:rsid w:val="00525389"/>
    <w:rsid w:val="00530868"/>
    <w:rsid w:val="00532391"/>
    <w:rsid w:val="005328C3"/>
    <w:rsid w:val="0053441C"/>
    <w:rsid w:val="005346D7"/>
    <w:rsid w:val="0053644A"/>
    <w:rsid w:val="00536459"/>
    <w:rsid w:val="00536DF7"/>
    <w:rsid w:val="00542981"/>
    <w:rsid w:val="00544102"/>
    <w:rsid w:val="00544955"/>
    <w:rsid w:val="00544EA2"/>
    <w:rsid w:val="00551EB3"/>
    <w:rsid w:val="00552543"/>
    <w:rsid w:val="00552E96"/>
    <w:rsid w:val="005536A3"/>
    <w:rsid w:val="005538C5"/>
    <w:rsid w:val="0055390F"/>
    <w:rsid w:val="00554380"/>
    <w:rsid w:val="005563FE"/>
    <w:rsid w:val="00557863"/>
    <w:rsid w:val="005611EE"/>
    <w:rsid w:val="0056369D"/>
    <w:rsid w:val="00563956"/>
    <w:rsid w:val="0056455E"/>
    <w:rsid w:val="00570A80"/>
    <w:rsid w:val="00572FA3"/>
    <w:rsid w:val="005746FF"/>
    <w:rsid w:val="0057706B"/>
    <w:rsid w:val="005776EC"/>
    <w:rsid w:val="00581AFB"/>
    <w:rsid w:val="00581FC1"/>
    <w:rsid w:val="0058362A"/>
    <w:rsid w:val="005861C7"/>
    <w:rsid w:val="00586C3E"/>
    <w:rsid w:val="005874B0"/>
    <w:rsid w:val="00590DF4"/>
    <w:rsid w:val="005918E1"/>
    <w:rsid w:val="00595B44"/>
    <w:rsid w:val="00595C68"/>
    <w:rsid w:val="005A33E8"/>
    <w:rsid w:val="005A403E"/>
    <w:rsid w:val="005A5E07"/>
    <w:rsid w:val="005A6D97"/>
    <w:rsid w:val="005A71F7"/>
    <w:rsid w:val="005B0D29"/>
    <w:rsid w:val="005B1AC2"/>
    <w:rsid w:val="005B2721"/>
    <w:rsid w:val="005B61C9"/>
    <w:rsid w:val="005C194F"/>
    <w:rsid w:val="005C20A9"/>
    <w:rsid w:val="005C33CE"/>
    <w:rsid w:val="005C429E"/>
    <w:rsid w:val="005C4B23"/>
    <w:rsid w:val="005C681A"/>
    <w:rsid w:val="005C6CFB"/>
    <w:rsid w:val="005D196B"/>
    <w:rsid w:val="005D241B"/>
    <w:rsid w:val="005D280A"/>
    <w:rsid w:val="005D2A23"/>
    <w:rsid w:val="005D58A6"/>
    <w:rsid w:val="005D5D8C"/>
    <w:rsid w:val="005E1190"/>
    <w:rsid w:val="005E119C"/>
    <w:rsid w:val="005E1C92"/>
    <w:rsid w:val="005E5C99"/>
    <w:rsid w:val="005E66B5"/>
    <w:rsid w:val="005F1580"/>
    <w:rsid w:val="005F48E6"/>
    <w:rsid w:val="00602E3C"/>
    <w:rsid w:val="006041C7"/>
    <w:rsid w:val="006044E7"/>
    <w:rsid w:val="00605B54"/>
    <w:rsid w:val="00605FB8"/>
    <w:rsid w:val="006062F6"/>
    <w:rsid w:val="00606F12"/>
    <w:rsid w:val="00607099"/>
    <w:rsid w:val="006153B4"/>
    <w:rsid w:val="00617A5C"/>
    <w:rsid w:val="00621FA2"/>
    <w:rsid w:val="00624455"/>
    <w:rsid w:val="006244CA"/>
    <w:rsid w:val="006246B4"/>
    <w:rsid w:val="0062518F"/>
    <w:rsid w:val="00626CFE"/>
    <w:rsid w:val="00630998"/>
    <w:rsid w:val="00633668"/>
    <w:rsid w:val="006404AD"/>
    <w:rsid w:val="00644F84"/>
    <w:rsid w:val="006576E4"/>
    <w:rsid w:val="00672731"/>
    <w:rsid w:val="0067314F"/>
    <w:rsid w:val="00676837"/>
    <w:rsid w:val="0068153D"/>
    <w:rsid w:val="00681EC3"/>
    <w:rsid w:val="0068284D"/>
    <w:rsid w:val="006844C1"/>
    <w:rsid w:val="006862DD"/>
    <w:rsid w:val="00686F05"/>
    <w:rsid w:val="00687929"/>
    <w:rsid w:val="006B72E3"/>
    <w:rsid w:val="006C0486"/>
    <w:rsid w:val="006C294F"/>
    <w:rsid w:val="006C2EA4"/>
    <w:rsid w:val="006C5BFC"/>
    <w:rsid w:val="006C6615"/>
    <w:rsid w:val="006C7EF5"/>
    <w:rsid w:val="006C7F48"/>
    <w:rsid w:val="006D1B2B"/>
    <w:rsid w:val="006D2625"/>
    <w:rsid w:val="006D5CB7"/>
    <w:rsid w:val="006E01B7"/>
    <w:rsid w:val="006E0A47"/>
    <w:rsid w:val="006E180C"/>
    <w:rsid w:val="006E6490"/>
    <w:rsid w:val="006F0118"/>
    <w:rsid w:val="006F4324"/>
    <w:rsid w:val="006F5997"/>
    <w:rsid w:val="00702FCA"/>
    <w:rsid w:val="0070373A"/>
    <w:rsid w:val="00706332"/>
    <w:rsid w:val="0070711C"/>
    <w:rsid w:val="007075E3"/>
    <w:rsid w:val="00710B4C"/>
    <w:rsid w:val="00711DE0"/>
    <w:rsid w:val="0071460C"/>
    <w:rsid w:val="007153BA"/>
    <w:rsid w:val="007176C4"/>
    <w:rsid w:val="00717C6C"/>
    <w:rsid w:val="00723AED"/>
    <w:rsid w:val="007244DA"/>
    <w:rsid w:val="00725596"/>
    <w:rsid w:val="00726F4D"/>
    <w:rsid w:val="00727393"/>
    <w:rsid w:val="00732137"/>
    <w:rsid w:val="007324CD"/>
    <w:rsid w:val="00732CD0"/>
    <w:rsid w:val="00732CF5"/>
    <w:rsid w:val="00733B65"/>
    <w:rsid w:val="0073467C"/>
    <w:rsid w:val="0073476A"/>
    <w:rsid w:val="00736D5A"/>
    <w:rsid w:val="00740335"/>
    <w:rsid w:val="00740890"/>
    <w:rsid w:val="00744051"/>
    <w:rsid w:val="007449E1"/>
    <w:rsid w:val="00744DA4"/>
    <w:rsid w:val="00745C62"/>
    <w:rsid w:val="007471F9"/>
    <w:rsid w:val="007553F3"/>
    <w:rsid w:val="00755B5D"/>
    <w:rsid w:val="00757C38"/>
    <w:rsid w:val="00765ED0"/>
    <w:rsid w:val="007705C2"/>
    <w:rsid w:val="0077214D"/>
    <w:rsid w:val="00774F5C"/>
    <w:rsid w:val="00775BC5"/>
    <w:rsid w:val="00775D4F"/>
    <w:rsid w:val="0077616A"/>
    <w:rsid w:val="00776DE7"/>
    <w:rsid w:val="00781DEC"/>
    <w:rsid w:val="00781F8D"/>
    <w:rsid w:val="00783CFC"/>
    <w:rsid w:val="007841B2"/>
    <w:rsid w:val="00784293"/>
    <w:rsid w:val="00786617"/>
    <w:rsid w:val="0078682F"/>
    <w:rsid w:val="00791ADF"/>
    <w:rsid w:val="00795ADE"/>
    <w:rsid w:val="00796974"/>
    <w:rsid w:val="00796DDF"/>
    <w:rsid w:val="007974FD"/>
    <w:rsid w:val="007A136D"/>
    <w:rsid w:val="007A252C"/>
    <w:rsid w:val="007A35D2"/>
    <w:rsid w:val="007B0057"/>
    <w:rsid w:val="007B59F8"/>
    <w:rsid w:val="007B5EE4"/>
    <w:rsid w:val="007C0301"/>
    <w:rsid w:val="007C0331"/>
    <w:rsid w:val="007C2241"/>
    <w:rsid w:val="007C61E4"/>
    <w:rsid w:val="007D48CD"/>
    <w:rsid w:val="007D48DA"/>
    <w:rsid w:val="007D4B13"/>
    <w:rsid w:val="007D4E3B"/>
    <w:rsid w:val="007E00F1"/>
    <w:rsid w:val="007E0C52"/>
    <w:rsid w:val="007E15D6"/>
    <w:rsid w:val="007E3589"/>
    <w:rsid w:val="007E3821"/>
    <w:rsid w:val="007E738B"/>
    <w:rsid w:val="007F050E"/>
    <w:rsid w:val="007F44DE"/>
    <w:rsid w:val="007F492B"/>
    <w:rsid w:val="00803A67"/>
    <w:rsid w:val="00804678"/>
    <w:rsid w:val="00805565"/>
    <w:rsid w:val="00807574"/>
    <w:rsid w:val="00811BA6"/>
    <w:rsid w:val="00813979"/>
    <w:rsid w:val="00815311"/>
    <w:rsid w:val="008160B2"/>
    <w:rsid w:val="0081646B"/>
    <w:rsid w:val="008221DD"/>
    <w:rsid w:val="00822B74"/>
    <w:rsid w:val="00832A72"/>
    <w:rsid w:val="00833EA9"/>
    <w:rsid w:val="00835B23"/>
    <w:rsid w:val="00837027"/>
    <w:rsid w:val="00840374"/>
    <w:rsid w:val="00844A1E"/>
    <w:rsid w:val="00844D8F"/>
    <w:rsid w:val="00844FA1"/>
    <w:rsid w:val="00846134"/>
    <w:rsid w:val="00850080"/>
    <w:rsid w:val="00850A32"/>
    <w:rsid w:val="0085228E"/>
    <w:rsid w:val="0085276C"/>
    <w:rsid w:val="00853BD7"/>
    <w:rsid w:val="00854506"/>
    <w:rsid w:val="00856632"/>
    <w:rsid w:val="00857BC6"/>
    <w:rsid w:val="00861053"/>
    <w:rsid w:val="00861356"/>
    <w:rsid w:val="00864E8B"/>
    <w:rsid w:val="008651EE"/>
    <w:rsid w:val="00865627"/>
    <w:rsid w:val="0086711F"/>
    <w:rsid w:val="00867506"/>
    <w:rsid w:val="008677C1"/>
    <w:rsid w:val="00867AD8"/>
    <w:rsid w:val="00867D89"/>
    <w:rsid w:val="00870AE2"/>
    <w:rsid w:val="00873DAC"/>
    <w:rsid w:val="008742FA"/>
    <w:rsid w:val="008764C3"/>
    <w:rsid w:val="00876C49"/>
    <w:rsid w:val="00876EA0"/>
    <w:rsid w:val="00882110"/>
    <w:rsid w:val="00883289"/>
    <w:rsid w:val="0088328D"/>
    <w:rsid w:val="00886919"/>
    <w:rsid w:val="0088758E"/>
    <w:rsid w:val="00891458"/>
    <w:rsid w:val="0089175B"/>
    <w:rsid w:val="0089752A"/>
    <w:rsid w:val="008A1F46"/>
    <w:rsid w:val="008A33D5"/>
    <w:rsid w:val="008A56F0"/>
    <w:rsid w:val="008A5A72"/>
    <w:rsid w:val="008A650E"/>
    <w:rsid w:val="008B0486"/>
    <w:rsid w:val="008B523E"/>
    <w:rsid w:val="008B54B2"/>
    <w:rsid w:val="008B6851"/>
    <w:rsid w:val="008C0D55"/>
    <w:rsid w:val="008C1D9A"/>
    <w:rsid w:val="008C25D7"/>
    <w:rsid w:val="008C2964"/>
    <w:rsid w:val="008C34AF"/>
    <w:rsid w:val="008C449E"/>
    <w:rsid w:val="008C504B"/>
    <w:rsid w:val="008C6672"/>
    <w:rsid w:val="008C676F"/>
    <w:rsid w:val="008D1AC5"/>
    <w:rsid w:val="008E0AFC"/>
    <w:rsid w:val="008E3117"/>
    <w:rsid w:val="008E35D0"/>
    <w:rsid w:val="008E737E"/>
    <w:rsid w:val="008E77CE"/>
    <w:rsid w:val="008F7E78"/>
    <w:rsid w:val="0090003C"/>
    <w:rsid w:val="0090091F"/>
    <w:rsid w:val="009027EA"/>
    <w:rsid w:val="009029F4"/>
    <w:rsid w:val="0090320D"/>
    <w:rsid w:val="009053BD"/>
    <w:rsid w:val="0090663E"/>
    <w:rsid w:val="00907005"/>
    <w:rsid w:val="00907D8C"/>
    <w:rsid w:val="00911680"/>
    <w:rsid w:val="009142C5"/>
    <w:rsid w:val="00914590"/>
    <w:rsid w:val="009203B8"/>
    <w:rsid w:val="00920E7E"/>
    <w:rsid w:val="00921122"/>
    <w:rsid w:val="00921CF8"/>
    <w:rsid w:val="00922748"/>
    <w:rsid w:val="00922C3F"/>
    <w:rsid w:val="00926F8F"/>
    <w:rsid w:val="00927460"/>
    <w:rsid w:val="0093027D"/>
    <w:rsid w:val="00930CB2"/>
    <w:rsid w:val="0093173F"/>
    <w:rsid w:val="00931C64"/>
    <w:rsid w:val="00933ACC"/>
    <w:rsid w:val="00940F70"/>
    <w:rsid w:val="009416CA"/>
    <w:rsid w:val="00943399"/>
    <w:rsid w:val="00945ED4"/>
    <w:rsid w:val="009507B6"/>
    <w:rsid w:val="00951AFD"/>
    <w:rsid w:val="0095276C"/>
    <w:rsid w:val="0095281D"/>
    <w:rsid w:val="00953B1A"/>
    <w:rsid w:val="00957239"/>
    <w:rsid w:val="00957B4E"/>
    <w:rsid w:val="00960130"/>
    <w:rsid w:val="00960525"/>
    <w:rsid w:val="009613DE"/>
    <w:rsid w:val="00963150"/>
    <w:rsid w:val="009637DF"/>
    <w:rsid w:val="009640D8"/>
    <w:rsid w:val="0096577D"/>
    <w:rsid w:val="00967B56"/>
    <w:rsid w:val="00970955"/>
    <w:rsid w:val="00970977"/>
    <w:rsid w:val="00970ACD"/>
    <w:rsid w:val="00971050"/>
    <w:rsid w:val="00972D04"/>
    <w:rsid w:val="00972E61"/>
    <w:rsid w:val="00973072"/>
    <w:rsid w:val="00974710"/>
    <w:rsid w:val="00980558"/>
    <w:rsid w:val="0098148F"/>
    <w:rsid w:val="00981E60"/>
    <w:rsid w:val="009838F9"/>
    <w:rsid w:val="00983B3A"/>
    <w:rsid w:val="00984A09"/>
    <w:rsid w:val="00984FFE"/>
    <w:rsid w:val="0098577F"/>
    <w:rsid w:val="00986D91"/>
    <w:rsid w:val="0099030E"/>
    <w:rsid w:val="009907E3"/>
    <w:rsid w:val="00993246"/>
    <w:rsid w:val="0099371F"/>
    <w:rsid w:val="00994D42"/>
    <w:rsid w:val="00996287"/>
    <w:rsid w:val="00997118"/>
    <w:rsid w:val="009A2E02"/>
    <w:rsid w:val="009A4FE8"/>
    <w:rsid w:val="009A5354"/>
    <w:rsid w:val="009A65CB"/>
    <w:rsid w:val="009A6E67"/>
    <w:rsid w:val="009A7B78"/>
    <w:rsid w:val="009B073C"/>
    <w:rsid w:val="009C4D6E"/>
    <w:rsid w:val="009D0F74"/>
    <w:rsid w:val="009D2093"/>
    <w:rsid w:val="009D2592"/>
    <w:rsid w:val="009D3C39"/>
    <w:rsid w:val="009D3DB8"/>
    <w:rsid w:val="009D4683"/>
    <w:rsid w:val="009D50C2"/>
    <w:rsid w:val="009D63D0"/>
    <w:rsid w:val="009D7C7E"/>
    <w:rsid w:val="009D7E12"/>
    <w:rsid w:val="009E07A9"/>
    <w:rsid w:val="009E18FF"/>
    <w:rsid w:val="009E4CDD"/>
    <w:rsid w:val="009E51A6"/>
    <w:rsid w:val="009E64D7"/>
    <w:rsid w:val="009E6579"/>
    <w:rsid w:val="009E6F76"/>
    <w:rsid w:val="009E7787"/>
    <w:rsid w:val="009E792D"/>
    <w:rsid w:val="009F00A0"/>
    <w:rsid w:val="009F022D"/>
    <w:rsid w:val="009F0897"/>
    <w:rsid w:val="009F2F1D"/>
    <w:rsid w:val="009F39A4"/>
    <w:rsid w:val="009F5EC4"/>
    <w:rsid w:val="009F6B91"/>
    <w:rsid w:val="009F7889"/>
    <w:rsid w:val="00A0138C"/>
    <w:rsid w:val="00A02D80"/>
    <w:rsid w:val="00A03E73"/>
    <w:rsid w:val="00A04763"/>
    <w:rsid w:val="00A11811"/>
    <w:rsid w:val="00A13810"/>
    <w:rsid w:val="00A146C3"/>
    <w:rsid w:val="00A179AA"/>
    <w:rsid w:val="00A21749"/>
    <w:rsid w:val="00A220FF"/>
    <w:rsid w:val="00A236F9"/>
    <w:rsid w:val="00A24E68"/>
    <w:rsid w:val="00A265EC"/>
    <w:rsid w:val="00A303A0"/>
    <w:rsid w:val="00A3224F"/>
    <w:rsid w:val="00A3587D"/>
    <w:rsid w:val="00A36F49"/>
    <w:rsid w:val="00A37A06"/>
    <w:rsid w:val="00A4408D"/>
    <w:rsid w:val="00A503B2"/>
    <w:rsid w:val="00A51E05"/>
    <w:rsid w:val="00A54AD1"/>
    <w:rsid w:val="00A550DE"/>
    <w:rsid w:val="00A56A34"/>
    <w:rsid w:val="00A620FC"/>
    <w:rsid w:val="00A63906"/>
    <w:rsid w:val="00A66A6A"/>
    <w:rsid w:val="00A75101"/>
    <w:rsid w:val="00A75D88"/>
    <w:rsid w:val="00A870C4"/>
    <w:rsid w:val="00A9400E"/>
    <w:rsid w:val="00A94253"/>
    <w:rsid w:val="00A943E6"/>
    <w:rsid w:val="00A95E35"/>
    <w:rsid w:val="00A96F12"/>
    <w:rsid w:val="00AA4AB2"/>
    <w:rsid w:val="00AA4AC9"/>
    <w:rsid w:val="00AA4F06"/>
    <w:rsid w:val="00AA5512"/>
    <w:rsid w:val="00AA7571"/>
    <w:rsid w:val="00AB09C1"/>
    <w:rsid w:val="00AB15F9"/>
    <w:rsid w:val="00AB3F9A"/>
    <w:rsid w:val="00AB4E01"/>
    <w:rsid w:val="00AB5C7D"/>
    <w:rsid w:val="00AB72D6"/>
    <w:rsid w:val="00AC0348"/>
    <w:rsid w:val="00AC1946"/>
    <w:rsid w:val="00AC5A81"/>
    <w:rsid w:val="00AC71A9"/>
    <w:rsid w:val="00AD7647"/>
    <w:rsid w:val="00AE0603"/>
    <w:rsid w:val="00AE176B"/>
    <w:rsid w:val="00AE3827"/>
    <w:rsid w:val="00AF0B05"/>
    <w:rsid w:val="00AF3230"/>
    <w:rsid w:val="00AF733C"/>
    <w:rsid w:val="00B00BB6"/>
    <w:rsid w:val="00B03AE5"/>
    <w:rsid w:val="00B05AAD"/>
    <w:rsid w:val="00B061E5"/>
    <w:rsid w:val="00B07671"/>
    <w:rsid w:val="00B105B1"/>
    <w:rsid w:val="00B10E84"/>
    <w:rsid w:val="00B135AC"/>
    <w:rsid w:val="00B162DC"/>
    <w:rsid w:val="00B17E7B"/>
    <w:rsid w:val="00B20779"/>
    <w:rsid w:val="00B21DA5"/>
    <w:rsid w:val="00B232FD"/>
    <w:rsid w:val="00B2431F"/>
    <w:rsid w:val="00B25E36"/>
    <w:rsid w:val="00B341A6"/>
    <w:rsid w:val="00B34E13"/>
    <w:rsid w:val="00B3677F"/>
    <w:rsid w:val="00B37B9B"/>
    <w:rsid w:val="00B42A98"/>
    <w:rsid w:val="00B4460A"/>
    <w:rsid w:val="00B45ABA"/>
    <w:rsid w:val="00B46246"/>
    <w:rsid w:val="00B46FCC"/>
    <w:rsid w:val="00B52AD8"/>
    <w:rsid w:val="00B62C02"/>
    <w:rsid w:val="00B6402B"/>
    <w:rsid w:val="00B64B99"/>
    <w:rsid w:val="00B6572E"/>
    <w:rsid w:val="00B75DD5"/>
    <w:rsid w:val="00B75F69"/>
    <w:rsid w:val="00B776B1"/>
    <w:rsid w:val="00B80DD4"/>
    <w:rsid w:val="00B86119"/>
    <w:rsid w:val="00B911B4"/>
    <w:rsid w:val="00BA0265"/>
    <w:rsid w:val="00BA046B"/>
    <w:rsid w:val="00BA212C"/>
    <w:rsid w:val="00BA2839"/>
    <w:rsid w:val="00BA4079"/>
    <w:rsid w:val="00BA443E"/>
    <w:rsid w:val="00BB1064"/>
    <w:rsid w:val="00BB304B"/>
    <w:rsid w:val="00BC2B5F"/>
    <w:rsid w:val="00BC6EC7"/>
    <w:rsid w:val="00BD4066"/>
    <w:rsid w:val="00BD53EC"/>
    <w:rsid w:val="00BD559B"/>
    <w:rsid w:val="00BD7D53"/>
    <w:rsid w:val="00BE232A"/>
    <w:rsid w:val="00BE24A9"/>
    <w:rsid w:val="00BE5E90"/>
    <w:rsid w:val="00BE6070"/>
    <w:rsid w:val="00BE676D"/>
    <w:rsid w:val="00BF09A0"/>
    <w:rsid w:val="00BF163A"/>
    <w:rsid w:val="00BF17C4"/>
    <w:rsid w:val="00BF43FE"/>
    <w:rsid w:val="00BF5C46"/>
    <w:rsid w:val="00C036EE"/>
    <w:rsid w:val="00C0502C"/>
    <w:rsid w:val="00C05F6C"/>
    <w:rsid w:val="00C06889"/>
    <w:rsid w:val="00C068E8"/>
    <w:rsid w:val="00C068F0"/>
    <w:rsid w:val="00C11E71"/>
    <w:rsid w:val="00C171C8"/>
    <w:rsid w:val="00C227BC"/>
    <w:rsid w:val="00C2341A"/>
    <w:rsid w:val="00C26265"/>
    <w:rsid w:val="00C26763"/>
    <w:rsid w:val="00C267D3"/>
    <w:rsid w:val="00C305A3"/>
    <w:rsid w:val="00C31280"/>
    <w:rsid w:val="00C3236E"/>
    <w:rsid w:val="00C33E29"/>
    <w:rsid w:val="00C3419D"/>
    <w:rsid w:val="00C342C8"/>
    <w:rsid w:val="00C35845"/>
    <w:rsid w:val="00C358BB"/>
    <w:rsid w:val="00C4031A"/>
    <w:rsid w:val="00C40B1B"/>
    <w:rsid w:val="00C40F49"/>
    <w:rsid w:val="00C44041"/>
    <w:rsid w:val="00C447BB"/>
    <w:rsid w:val="00C44814"/>
    <w:rsid w:val="00C44F7F"/>
    <w:rsid w:val="00C4712E"/>
    <w:rsid w:val="00C473A8"/>
    <w:rsid w:val="00C512B4"/>
    <w:rsid w:val="00C55895"/>
    <w:rsid w:val="00C67985"/>
    <w:rsid w:val="00C7068B"/>
    <w:rsid w:val="00C70B00"/>
    <w:rsid w:val="00C714A9"/>
    <w:rsid w:val="00C71CA6"/>
    <w:rsid w:val="00C71F95"/>
    <w:rsid w:val="00C7515E"/>
    <w:rsid w:val="00C75BB3"/>
    <w:rsid w:val="00C75DDA"/>
    <w:rsid w:val="00C75F71"/>
    <w:rsid w:val="00C76ABF"/>
    <w:rsid w:val="00C76E54"/>
    <w:rsid w:val="00C82DCF"/>
    <w:rsid w:val="00C833BC"/>
    <w:rsid w:val="00C83E5F"/>
    <w:rsid w:val="00C844E4"/>
    <w:rsid w:val="00C86AD7"/>
    <w:rsid w:val="00C9571B"/>
    <w:rsid w:val="00C95CA5"/>
    <w:rsid w:val="00C97518"/>
    <w:rsid w:val="00CA4FC8"/>
    <w:rsid w:val="00CA5217"/>
    <w:rsid w:val="00CA53FA"/>
    <w:rsid w:val="00CC0BAA"/>
    <w:rsid w:val="00CC1BC7"/>
    <w:rsid w:val="00CC46C0"/>
    <w:rsid w:val="00CC7F56"/>
    <w:rsid w:val="00CD022C"/>
    <w:rsid w:val="00CD0B35"/>
    <w:rsid w:val="00CD2FAA"/>
    <w:rsid w:val="00CD3813"/>
    <w:rsid w:val="00CD6494"/>
    <w:rsid w:val="00CD6A39"/>
    <w:rsid w:val="00CE0A4B"/>
    <w:rsid w:val="00CE182D"/>
    <w:rsid w:val="00CE6598"/>
    <w:rsid w:val="00CE6FDF"/>
    <w:rsid w:val="00CF0CD2"/>
    <w:rsid w:val="00CF2594"/>
    <w:rsid w:val="00CF39DF"/>
    <w:rsid w:val="00CF3B52"/>
    <w:rsid w:val="00CF3D16"/>
    <w:rsid w:val="00D014B6"/>
    <w:rsid w:val="00D02967"/>
    <w:rsid w:val="00D04E41"/>
    <w:rsid w:val="00D054D3"/>
    <w:rsid w:val="00D05BF4"/>
    <w:rsid w:val="00D05F02"/>
    <w:rsid w:val="00D137C3"/>
    <w:rsid w:val="00D1491D"/>
    <w:rsid w:val="00D21D9B"/>
    <w:rsid w:val="00D21EB6"/>
    <w:rsid w:val="00D23766"/>
    <w:rsid w:val="00D26106"/>
    <w:rsid w:val="00D27082"/>
    <w:rsid w:val="00D32D27"/>
    <w:rsid w:val="00D373B6"/>
    <w:rsid w:val="00D37594"/>
    <w:rsid w:val="00D560E4"/>
    <w:rsid w:val="00D568BA"/>
    <w:rsid w:val="00D61D7C"/>
    <w:rsid w:val="00D626A1"/>
    <w:rsid w:val="00D62836"/>
    <w:rsid w:val="00D705BD"/>
    <w:rsid w:val="00D708A4"/>
    <w:rsid w:val="00D72340"/>
    <w:rsid w:val="00D77D63"/>
    <w:rsid w:val="00D802EC"/>
    <w:rsid w:val="00D8301D"/>
    <w:rsid w:val="00D83464"/>
    <w:rsid w:val="00D844C6"/>
    <w:rsid w:val="00D854EF"/>
    <w:rsid w:val="00D85BC9"/>
    <w:rsid w:val="00D85E8A"/>
    <w:rsid w:val="00D922A9"/>
    <w:rsid w:val="00D93E6E"/>
    <w:rsid w:val="00D94919"/>
    <w:rsid w:val="00D9522A"/>
    <w:rsid w:val="00D96E68"/>
    <w:rsid w:val="00DA08A9"/>
    <w:rsid w:val="00DA1C02"/>
    <w:rsid w:val="00DA3DB4"/>
    <w:rsid w:val="00DA4172"/>
    <w:rsid w:val="00DA42B9"/>
    <w:rsid w:val="00DA5466"/>
    <w:rsid w:val="00DA68A9"/>
    <w:rsid w:val="00DA6C98"/>
    <w:rsid w:val="00DB0E26"/>
    <w:rsid w:val="00DB1970"/>
    <w:rsid w:val="00DB2842"/>
    <w:rsid w:val="00DB3811"/>
    <w:rsid w:val="00DC2A4E"/>
    <w:rsid w:val="00DC39F6"/>
    <w:rsid w:val="00DC513A"/>
    <w:rsid w:val="00DD4CD7"/>
    <w:rsid w:val="00DD6CBB"/>
    <w:rsid w:val="00DE0947"/>
    <w:rsid w:val="00DE0F07"/>
    <w:rsid w:val="00DE4702"/>
    <w:rsid w:val="00DE67A1"/>
    <w:rsid w:val="00DE6946"/>
    <w:rsid w:val="00DE6F01"/>
    <w:rsid w:val="00DF09AC"/>
    <w:rsid w:val="00DF2A03"/>
    <w:rsid w:val="00DF607C"/>
    <w:rsid w:val="00E00BAA"/>
    <w:rsid w:val="00E04643"/>
    <w:rsid w:val="00E06737"/>
    <w:rsid w:val="00E10C93"/>
    <w:rsid w:val="00E20C7B"/>
    <w:rsid w:val="00E20D46"/>
    <w:rsid w:val="00E27112"/>
    <w:rsid w:val="00E3034F"/>
    <w:rsid w:val="00E310F2"/>
    <w:rsid w:val="00E311B9"/>
    <w:rsid w:val="00E34CE2"/>
    <w:rsid w:val="00E3624E"/>
    <w:rsid w:val="00E42ED0"/>
    <w:rsid w:val="00E44034"/>
    <w:rsid w:val="00E44218"/>
    <w:rsid w:val="00E44262"/>
    <w:rsid w:val="00E4707A"/>
    <w:rsid w:val="00E47B88"/>
    <w:rsid w:val="00E52A24"/>
    <w:rsid w:val="00E52DB2"/>
    <w:rsid w:val="00E54BEB"/>
    <w:rsid w:val="00E57EDA"/>
    <w:rsid w:val="00E600F2"/>
    <w:rsid w:val="00E6108A"/>
    <w:rsid w:val="00E6358E"/>
    <w:rsid w:val="00E659B0"/>
    <w:rsid w:val="00E66CFF"/>
    <w:rsid w:val="00E7304F"/>
    <w:rsid w:val="00E734FE"/>
    <w:rsid w:val="00E73FBA"/>
    <w:rsid w:val="00E754EB"/>
    <w:rsid w:val="00E761C4"/>
    <w:rsid w:val="00E8005B"/>
    <w:rsid w:val="00E80F62"/>
    <w:rsid w:val="00E8316E"/>
    <w:rsid w:val="00E83CF7"/>
    <w:rsid w:val="00E84CA1"/>
    <w:rsid w:val="00E862BC"/>
    <w:rsid w:val="00E9045A"/>
    <w:rsid w:val="00E9504B"/>
    <w:rsid w:val="00E9630A"/>
    <w:rsid w:val="00EA013A"/>
    <w:rsid w:val="00EA43E7"/>
    <w:rsid w:val="00EB10B2"/>
    <w:rsid w:val="00EB342F"/>
    <w:rsid w:val="00EB38A6"/>
    <w:rsid w:val="00EB451B"/>
    <w:rsid w:val="00EC0413"/>
    <w:rsid w:val="00EC322D"/>
    <w:rsid w:val="00EC3F8B"/>
    <w:rsid w:val="00EC400A"/>
    <w:rsid w:val="00EC5372"/>
    <w:rsid w:val="00EC6F4C"/>
    <w:rsid w:val="00ED21C4"/>
    <w:rsid w:val="00ED2546"/>
    <w:rsid w:val="00ED41E4"/>
    <w:rsid w:val="00ED729F"/>
    <w:rsid w:val="00EE08F5"/>
    <w:rsid w:val="00EE2E9F"/>
    <w:rsid w:val="00EE48B2"/>
    <w:rsid w:val="00EE48D8"/>
    <w:rsid w:val="00EE4C1C"/>
    <w:rsid w:val="00EF1492"/>
    <w:rsid w:val="00EF1E9F"/>
    <w:rsid w:val="00EF250F"/>
    <w:rsid w:val="00EF2DB6"/>
    <w:rsid w:val="00EF3950"/>
    <w:rsid w:val="00EF4D36"/>
    <w:rsid w:val="00EF5F22"/>
    <w:rsid w:val="00F004DA"/>
    <w:rsid w:val="00F02F6F"/>
    <w:rsid w:val="00F10A74"/>
    <w:rsid w:val="00F10F39"/>
    <w:rsid w:val="00F11AF7"/>
    <w:rsid w:val="00F13686"/>
    <w:rsid w:val="00F13917"/>
    <w:rsid w:val="00F13980"/>
    <w:rsid w:val="00F144C7"/>
    <w:rsid w:val="00F15949"/>
    <w:rsid w:val="00F1700E"/>
    <w:rsid w:val="00F175D3"/>
    <w:rsid w:val="00F21ED8"/>
    <w:rsid w:val="00F22C28"/>
    <w:rsid w:val="00F255B6"/>
    <w:rsid w:val="00F2609F"/>
    <w:rsid w:val="00F268E4"/>
    <w:rsid w:val="00F278AC"/>
    <w:rsid w:val="00F35221"/>
    <w:rsid w:val="00F35C4E"/>
    <w:rsid w:val="00F4166B"/>
    <w:rsid w:val="00F439B5"/>
    <w:rsid w:val="00F4477D"/>
    <w:rsid w:val="00F44A5F"/>
    <w:rsid w:val="00F50098"/>
    <w:rsid w:val="00F505B5"/>
    <w:rsid w:val="00F5062E"/>
    <w:rsid w:val="00F50980"/>
    <w:rsid w:val="00F5158E"/>
    <w:rsid w:val="00F525B1"/>
    <w:rsid w:val="00F61CED"/>
    <w:rsid w:val="00F664FE"/>
    <w:rsid w:val="00F66935"/>
    <w:rsid w:val="00F72A01"/>
    <w:rsid w:val="00F81AC8"/>
    <w:rsid w:val="00F81D2B"/>
    <w:rsid w:val="00F83301"/>
    <w:rsid w:val="00F83355"/>
    <w:rsid w:val="00F83F0D"/>
    <w:rsid w:val="00F847E3"/>
    <w:rsid w:val="00F85F35"/>
    <w:rsid w:val="00F91C40"/>
    <w:rsid w:val="00F9282A"/>
    <w:rsid w:val="00F92CA5"/>
    <w:rsid w:val="00F97EFD"/>
    <w:rsid w:val="00FA33A8"/>
    <w:rsid w:val="00FA3586"/>
    <w:rsid w:val="00FA48B4"/>
    <w:rsid w:val="00FA5646"/>
    <w:rsid w:val="00FA5F2F"/>
    <w:rsid w:val="00FB0174"/>
    <w:rsid w:val="00FB0462"/>
    <w:rsid w:val="00FB2202"/>
    <w:rsid w:val="00FB2207"/>
    <w:rsid w:val="00FB2DCC"/>
    <w:rsid w:val="00FB39FF"/>
    <w:rsid w:val="00FB582D"/>
    <w:rsid w:val="00FB5AA7"/>
    <w:rsid w:val="00FB5B38"/>
    <w:rsid w:val="00FB7671"/>
    <w:rsid w:val="00FC1924"/>
    <w:rsid w:val="00FC2CCE"/>
    <w:rsid w:val="00FC2E00"/>
    <w:rsid w:val="00FC3574"/>
    <w:rsid w:val="00FC6E3E"/>
    <w:rsid w:val="00FD0790"/>
    <w:rsid w:val="00FD0801"/>
    <w:rsid w:val="00FD22DF"/>
    <w:rsid w:val="00FD27F7"/>
    <w:rsid w:val="00FD5F0F"/>
    <w:rsid w:val="00FD6177"/>
    <w:rsid w:val="00FE0370"/>
    <w:rsid w:val="00FE06BE"/>
    <w:rsid w:val="00FE0E41"/>
    <w:rsid w:val="00FE2D15"/>
    <w:rsid w:val="00FE3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09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80"/>
      <w:ind w:firstLine="170"/>
      <w:jc w:val="both"/>
    </w:pPr>
    <w:rPr>
      <w:sz w:val="18"/>
      <w:lang w:val="pt-PT"/>
    </w:rPr>
  </w:style>
  <w:style w:type="paragraph" w:styleId="Heading1">
    <w:name w:val="heading 1"/>
    <w:basedOn w:val="Normal"/>
    <w:next w:val="Normal"/>
    <w:link w:val="Heading1Char"/>
    <w:qFormat/>
    <w:rsid w:val="00BA046B"/>
    <w:pPr>
      <w:keepNext/>
      <w:numPr>
        <w:numId w:val="21"/>
      </w:numPr>
      <w:spacing w:before="180" w:after="180"/>
      <w:jc w:val="left"/>
      <w:outlineLvl w:val="0"/>
    </w:pPr>
    <w:rPr>
      <w:b/>
      <w:kern w:val="28"/>
    </w:rPr>
  </w:style>
  <w:style w:type="paragraph" w:styleId="Heading2">
    <w:name w:val="heading 2"/>
    <w:basedOn w:val="Heading1"/>
    <w:next w:val="Normal"/>
    <w:qFormat/>
    <w:rsid w:val="009613DE"/>
    <w:pPr>
      <w:numPr>
        <w:ilvl w:val="1"/>
      </w:numPr>
      <w:outlineLvl w:val="1"/>
    </w:pPr>
  </w:style>
  <w:style w:type="paragraph" w:styleId="Heading3">
    <w:name w:val="heading 3"/>
    <w:basedOn w:val="Heading2"/>
    <w:next w:val="Normal"/>
    <w:link w:val="Heading3Char"/>
    <w:qFormat/>
    <w:rsid w:val="00C068E8"/>
    <w:pPr>
      <w:numPr>
        <w:ilvl w:val="2"/>
      </w:numPr>
      <w:outlineLvl w:val="2"/>
    </w:pPr>
    <w:rPr>
      <w:b w:val="0"/>
      <w:i/>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rFonts w:ascii="Times New Roman" w:hAnsi="Times New Roman"/>
      <w:sz w:val="18"/>
      <w:vertAlign w:val="superscript"/>
    </w:rPr>
  </w:style>
  <w:style w:type="paragraph" w:customStyle="1" w:styleId="Author">
    <w:name w:val="Author"/>
    <w:basedOn w:val="Normal"/>
    <w:pPr>
      <w:spacing w:before="240" w:after="0"/>
      <w:jc w:val="center"/>
    </w:pPr>
    <w:rPr>
      <w:sz w:val="24"/>
    </w:rPr>
  </w:style>
  <w:style w:type="paragraph" w:customStyle="1" w:styleId="Paper-Title">
    <w:name w:val="Paper-Title"/>
    <w:basedOn w:val="Normal"/>
    <w:pPr>
      <w:spacing w:after="120"/>
      <w:jc w:val="center"/>
    </w:pPr>
    <w:rPr>
      <w:b/>
      <w:noProof/>
      <w:sz w:val="36"/>
    </w:rPr>
  </w:style>
  <w:style w:type="paragraph" w:customStyle="1" w:styleId="Affiliations">
    <w:name w:val="Affiliations"/>
    <w:basedOn w:val="Normal"/>
    <w:pPr>
      <w:spacing w:after="0"/>
      <w:jc w:val="center"/>
    </w:pPr>
    <w:rPr>
      <w:rFonts w:ascii="Helvetica" w:hAnsi="Helvetica"/>
    </w:rPr>
  </w:style>
  <w:style w:type="paragraph" w:styleId="FootnoteText">
    <w:name w:val="footnote text"/>
    <w:basedOn w:val="Normal"/>
    <w:semiHidden/>
    <w:pPr>
      <w:ind w:left="144" w:hanging="144"/>
    </w:pPr>
  </w:style>
  <w:style w:type="paragraph" w:customStyle="1" w:styleId="Bullet">
    <w:name w:val="Bullet"/>
    <w:basedOn w:val="Normal"/>
    <w:pPr>
      <w:numPr>
        <w:numId w:val="2"/>
      </w:numPr>
      <w:ind w:left="357" w:hanging="357"/>
    </w:pPr>
  </w:style>
  <w:style w:type="paragraph" w:styleId="Footer">
    <w:name w:val="footer"/>
    <w:basedOn w:val="Normal"/>
    <w:pPr>
      <w:tabs>
        <w:tab w:val="center" w:pos="4153"/>
        <w:tab w:val="right" w:pos="8306"/>
      </w:tabs>
    </w:pPr>
  </w:style>
  <w:style w:type="paragraph" w:customStyle="1" w:styleId="E-Mail">
    <w:name w:val="E-Mail"/>
    <w:basedOn w:val="Author"/>
    <w:pPr>
      <w:spacing w:before="0" w:after="60"/>
    </w:pPr>
    <w:rPr>
      <w:rFonts w:ascii="Courier" w:hAnsi="Courier"/>
      <w:sz w:val="20"/>
    </w:rPr>
  </w:style>
  <w:style w:type="paragraph" w:customStyle="1" w:styleId="Abstract">
    <w:name w:val="Abstract"/>
    <w:basedOn w:val="Normal"/>
  </w:style>
  <w:style w:type="paragraph" w:styleId="ListNumber3">
    <w:name w:val="List Number 3"/>
    <w:basedOn w:val="Normal"/>
    <w:pPr>
      <w:ind w:left="357" w:hanging="357"/>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ind w:left="284" w:hanging="284"/>
      <w:jc w:val="left"/>
    </w:pPr>
  </w:style>
  <w:style w:type="character" w:styleId="PageNumber">
    <w:name w:val="page number"/>
    <w:basedOn w:val="DefaultParagraphFont"/>
  </w:style>
  <w:style w:type="paragraph" w:styleId="Caption">
    <w:name w:val="caption"/>
    <w:basedOn w:val="Normal"/>
    <w:next w:val="Normal"/>
    <w:qFormat/>
    <w:pPr>
      <w:spacing w:before="120" w:after="120"/>
    </w:pPr>
    <w:rPr>
      <w:b/>
    </w:rPr>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80"/>
      <w:jc w:val="both"/>
    </w:pPr>
    <w:rPr>
      <w:rFonts w:ascii="Courier New" w:hAnsi="Courier New"/>
      <w:lang w:val="pt-PT"/>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alloonText">
    <w:name w:val="Balloon Text"/>
    <w:basedOn w:val="Normal"/>
    <w:link w:val="BalloonTextChar"/>
    <w:uiPriority w:val="99"/>
    <w:semiHidden/>
    <w:unhideWhenUsed/>
    <w:rsid w:val="007273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393"/>
    <w:rPr>
      <w:rFonts w:ascii="Tahoma" w:hAnsi="Tahoma" w:cs="Tahoma"/>
      <w:sz w:val="16"/>
      <w:szCs w:val="16"/>
      <w:lang w:val="pt-PT"/>
    </w:rPr>
  </w:style>
  <w:style w:type="paragraph" w:styleId="Revision">
    <w:name w:val="Revision"/>
    <w:hidden/>
    <w:uiPriority w:val="99"/>
    <w:semiHidden/>
    <w:rsid w:val="00AC71A9"/>
    <w:rPr>
      <w:sz w:val="18"/>
      <w:lang w:val="pt-PT"/>
    </w:rPr>
  </w:style>
  <w:style w:type="character" w:styleId="CommentReference">
    <w:name w:val="annotation reference"/>
    <w:basedOn w:val="DefaultParagraphFont"/>
    <w:uiPriority w:val="99"/>
    <w:semiHidden/>
    <w:unhideWhenUsed/>
    <w:rsid w:val="005F1580"/>
    <w:rPr>
      <w:sz w:val="16"/>
      <w:szCs w:val="16"/>
    </w:rPr>
  </w:style>
  <w:style w:type="paragraph" w:styleId="CommentSubject">
    <w:name w:val="annotation subject"/>
    <w:basedOn w:val="CommentText"/>
    <w:next w:val="CommentText"/>
    <w:link w:val="CommentSubjectChar"/>
    <w:uiPriority w:val="99"/>
    <w:semiHidden/>
    <w:unhideWhenUsed/>
    <w:rsid w:val="005F1580"/>
    <w:rPr>
      <w:b/>
      <w:bCs/>
      <w:sz w:val="20"/>
    </w:rPr>
  </w:style>
  <w:style w:type="character" w:customStyle="1" w:styleId="CommentTextChar">
    <w:name w:val="Comment Text Char"/>
    <w:basedOn w:val="DefaultParagraphFont"/>
    <w:link w:val="CommentText"/>
    <w:semiHidden/>
    <w:rsid w:val="005F1580"/>
    <w:rPr>
      <w:sz w:val="18"/>
      <w:lang w:val="pt-PT"/>
    </w:rPr>
  </w:style>
  <w:style w:type="character" w:customStyle="1" w:styleId="CommentSubjectChar">
    <w:name w:val="Comment Subject Char"/>
    <w:basedOn w:val="CommentTextChar"/>
    <w:link w:val="CommentSubject"/>
    <w:uiPriority w:val="99"/>
    <w:semiHidden/>
    <w:rsid w:val="005F1580"/>
    <w:rPr>
      <w:b/>
      <w:bCs/>
      <w:sz w:val="18"/>
      <w:lang w:val="pt-PT"/>
    </w:rPr>
  </w:style>
  <w:style w:type="table" w:styleId="TableGrid">
    <w:name w:val="Table Grid"/>
    <w:basedOn w:val="TableNormal"/>
    <w:uiPriority w:val="59"/>
    <w:rsid w:val="005F15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5C62"/>
    <w:pPr>
      <w:ind w:left="720"/>
      <w:contextualSpacing/>
    </w:pPr>
  </w:style>
  <w:style w:type="table" w:styleId="LightShading">
    <w:name w:val="Light Shading"/>
    <w:basedOn w:val="TableNormal"/>
    <w:uiPriority w:val="60"/>
    <w:rsid w:val="003C782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rsid w:val="00C068E8"/>
    <w:rPr>
      <w:i/>
      <w:kern w:val="28"/>
      <w:sz w:val="18"/>
      <w:lang w:val="pt-PT"/>
    </w:rPr>
  </w:style>
  <w:style w:type="table" w:customStyle="1" w:styleId="TableGrid1">
    <w:name w:val="Table Grid1"/>
    <w:basedOn w:val="TableNormal"/>
    <w:next w:val="TableGrid"/>
    <w:uiPriority w:val="59"/>
    <w:rsid w:val="00815311"/>
    <w:rPr>
      <w:rFonts w:ascii="Cambria" w:eastAsia="MS Mincho"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0">
    <w:name w:val="BodyTextIndent"/>
    <w:basedOn w:val="Normal"/>
    <w:link w:val="BodyTextIndentChar"/>
    <w:autoRedefine/>
    <w:qFormat/>
    <w:rsid w:val="009A5354"/>
    <w:pPr>
      <w:autoSpaceDE w:val="0"/>
      <w:autoSpaceDN w:val="0"/>
      <w:adjustRightInd w:val="0"/>
      <w:spacing w:after="0" w:line="200" w:lineRule="exact"/>
      <w:ind w:firstLine="173"/>
    </w:pPr>
    <w:rPr>
      <w:rFonts w:ascii="Times" w:hAnsi="Times"/>
      <w:lang w:val="en-US"/>
    </w:rPr>
  </w:style>
  <w:style w:type="character" w:customStyle="1" w:styleId="BodyTextIndentChar">
    <w:name w:val="BodyTextIndent Char"/>
    <w:link w:val="BodyTextIndent0"/>
    <w:rsid w:val="009A5354"/>
    <w:rPr>
      <w:rFonts w:ascii="Times" w:hAnsi="Times"/>
      <w:sz w:val="18"/>
    </w:rPr>
  </w:style>
  <w:style w:type="paragraph" w:customStyle="1" w:styleId="FigureCaption">
    <w:name w:val="Figure Caption"/>
    <w:basedOn w:val="Normal"/>
    <w:autoRedefine/>
    <w:rsid w:val="002F639B"/>
    <w:pPr>
      <w:spacing w:before="30" w:after="180" w:line="190" w:lineRule="exact"/>
      <w:ind w:firstLine="0"/>
      <w:jc w:val="left"/>
    </w:pPr>
    <w:rPr>
      <w:rFonts w:ascii="Helvetica" w:hAnsi="Helvetica"/>
      <w:sz w:val="16"/>
      <w:szCs w:val="24"/>
      <w:lang w:val="en-US"/>
    </w:rPr>
  </w:style>
  <w:style w:type="paragraph" w:customStyle="1" w:styleId="TableCaption">
    <w:name w:val="Table Caption"/>
    <w:basedOn w:val="FigureCaption"/>
    <w:autoRedefine/>
    <w:rsid w:val="00927460"/>
    <w:pPr>
      <w:keepNext/>
      <w:spacing w:before="0"/>
    </w:pPr>
  </w:style>
  <w:style w:type="paragraph" w:customStyle="1" w:styleId="Heading1Introduction">
    <w:name w:val="Heading 1 Introduction"/>
    <w:basedOn w:val="Heading1"/>
    <w:autoRedefine/>
    <w:rsid w:val="00F847E3"/>
    <w:pPr>
      <w:numPr>
        <w:numId w:val="19"/>
      </w:numPr>
      <w:tabs>
        <w:tab w:val="left" w:pos="284"/>
      </w:tabs>
      <w:spacing w:before="380" w:after="80" w:line="200" w:lineRule="exact"/>
    </w:pPr>
    <w:rPr>
      <w:rFonts w:ascii="Helvetica" w:hAnsi="Helvetica"/>
      <w:smallCaps/>
      <w:spacing w:val="13"/>
      <w:kern w:val="32"/>
      <w:szCs w:val="24"/>
      <w:lang w:val="en-US"/>
    </w:rPr>
  </w:style>
  <w:style w:type="paragraph" w:customStyle="1" w:styleId="AbstractText">
    <w:name w:val="AbstractText"/>
    <w:basedOn w:val="Heading1"/>
    <w:link w:val="AbstractTextChar"/>
    <w:qFormat/>
    <w:rsid w:val="0070711C"/>
    <w:pPr>
      <w:numPr>
        <w:numId w:val="0"/>
      </w:numPr>
      <w:spacing w:before="0"/>
      <w:ind w:left="284" w:right="397"/>
    </w:pPr>
    <w:rPr>
      <w:b w:val="0"/>
      <w:i/>
      <w:lang w:val="en-US"/>
    </w:rPr>
  </w:style>
  <w:style w:type="paragraph" w:customStyle="1" w:styleId="AbstractHeading">
    <w:name w:val="AbstractHeading"/>
    <w:basedOn w:val="Heading1"/>
    <w:next w:val="AbstractText"/>
    <w:link w:val="AbstractHeadingChar"/>
    <w:qFormat/>
    <w:rsid w:val="0070711C"/>
    <w:pPr>
      <w:numPr>
        <w:numId w:val="0"/>
      </w:numPr>
      <w:spacing w:before="0" w:after="0"/>
      <w:ind w:left="288" w:right="403"/>
    </w:pPr>
    <w:rPr>
      <w:lang w:val="en-US"/>
    </w:rPr>
  </w:style>
  <w:style w:type="character" w:customStyle="1" w:styleId="Heading1Char">
    <w:name w:val="Heading 1 Char"/>
    <w:basedOn w:val="DefaultParagraphFont"/>
    <w:link w:val="Heading1"/>
    <w:rsid w:val="00BA046B"/>
    <w:rPr>
      <w:b/>
      <w:kern w:val="28"/>
      <w:sz w:val="18"/>
      <w:lang w:val="pt-PT"/>
    </w:rPr>
  </w:style>
  <w:style w:type="character" w:customStyle="1" w:styleId="AbstractTextChar">
    <w:name w:val="AbstractText Char"/>
    <w:basedOn w:val="Heading1Char"/>
    <w:link w:val="AbstractText"/>
    <w:rsid w:val="0070711C"/>
    <w:rPr>
      <w:b w:val="0"/>
      <w:i/>
      <w:kern w:val="28"/>
      <w:sz w:val="18"/>
      <w:lang w:val="pt-PT"/>
    </w:rPr>
  </w:style>
  <w:style w:type="numbering" w:customStyle="1" w:styleId="Style1">
    <w:name w:val="Style1"/>
    <w:uiPriority w:val="99"/>
    <w:rsid w:val="00BA046B"/>
    <w:pPr>
      <w:numPr>
        <w:numId w:val="20"/>
      </w:numPr>
    </w:pPr>
  </w:style>
  <w:style w:type="character" w:customStyle="1" w:styleId="AbstractHeadingChar">
    <w:name w:val="AbstractHeading Char"/>
    <w:basedOn w:val="Heading1Char"/>
    <w:link w:val="AbstractHeading"/>
    <w:rsid w:val="0070711C"/>
    <w:rPr>
      <w:b/>
      <w:kern w:val="28"/>
      <w:sz w:val="18"/>
      <w:lang w:val="pt-PT"/>
    </w:rPr>
  </w:style>
  <w:style w:type="paragraph" w:customStyle="1" w:styleId="Bio">
    <w:name w:val="Bio"/>
    <w:basedOn w:val="Normal"/>
    <w:link w:val="BioChar"/>
    <w:rsid w:val="005C194F"/>
    <w:pPr>
      <w:ind w:left="288" w:hanging="288"/>
    </w:pPr>
  </w:style>
  <w:style w:type="paragraph" w:customStyle="1" w:styleId="Bio2">
    <w:name w:val="Bio 2"/>
    <w:basedOn w:val="Bio"/>
    <w:link w:val="Bio2Char"/>
    <w:qFormat/>
    <w:rsid w:val="005C194F"/>
  </w:style>
  <w:style w:type="character" w:customStyle="1" w:styleId="BodyTextNoIndentChar">
    <w:name w:val="BodyTextNoIndent Char"/>
    <w:basedOn w:val="BodyTextIndentChar"/>
    <w:rsid w:val="003462C7"/>
    <w:rPr>
      <w:rFonts w:ascii="Times" w:hAnsi="Times"/>
      <w:sz w:val="18"/>
    </w:rPr>
  </w:style>
  <w:style w:type="character" w:customStyle="1" w:styleId="BioChar">
    <w:name w:val="Bio Char"/>
    <w:basedOn w:val="DefaultParagraphFont"/>
    <w:link w:val="Bio"/>
    <w:rsid w:val="005C194F"/>
    <w:rPr>
      <w:sz w:val="18"/>
      <w:lang w:val="pt-PT"/>
    </w:rPr>
  </w:style>
  <w:style w:type="paragraph" w:customStyle="1" w:styleId="BodyTextNoIndent">
    <w:name w:val="BodyTextNoIndent"/>
    <w:basedOn w:val="Bio"/>
    <w:link w:val="BodyTextNoIndentChar1"/>
    <w:qFormat/>
    <w:rsid w:val="0096577D"/>
    <w:pPr>
      <w:spacing w:after="0"/>
      <w:ind w:left="0" w:firstLine="0"/>
    </w:pPr>
  </w:style>
  <w:style w:type="character" w:customStyle="1" w:styleId="Bio2Char">
    <w:name w:val="Bio 2 Char"/>
    <w:basedOn w:val="BioChar"/>
    <w:link w:val="Bio2"/>
    <w:rsid w:val="005C194F"/>
    <w:rPr>
      <w:sz w:val="18"/>
      <w:lang w:val="pt-PT"/>
    </w:rPr>
  </w:style>
  <w:style w:type="character" w:customStyle="1" w:styleId="BodyTextNoIndentChar1">
    <w:name w:val="BodyTextNoIndent Char1"/>
    <w:basedOn w:val="BioChar"/>
    <w:link w:val="BodyTextNoIndent"/>
    <w:rsid w:val="0096577D"/>
    <w:rPr>
      <w:sz w:val="18"/>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80"/>
      <w:ind w:firstLine="170"/>
      <w:jc w:val="both"/>
    </w:pPr>
    <w:rPr>
      <w:sz w:val="18"/>
      <w:lang w:val="pt-PT"/>
    </w:rPr>
  </w:style>
  <w:style w:type="paragraph" w:styleId="Heading1">
    <w:name w:val="heading 1"/>
    <w:basedOn w:val="Normal"/>
    <w:next w:val="Normal"/>
    <w:link w:val="Heading1Char"/>
    <w:qFormat/>
    <w:rsid w:val="00BA046B"/>
    <w:pPr>
      <w:keepNext/>
      <w:numPr>
        <w:numId w:val="21"/>
      </w:numPr>
      <w:spacing w:before="180" w:after="180"/>
      <w:jc w:val="left"/>
      <w:outlineLvl w:val="0"/>
    </w:pPr>
    <w:rPr>
      <w:b/>
      <w:kern w:val="28"/>
    </w:rPr>
  </w:style>
  <w:style w:type="paragraph" w:styleId="Heading2">
    <w:name w:val="heading 2"/>
    <w:basedOn w:val="Heading1"/>
    <w:next w:val="Normal"/>
    <w:qFormat/>
    <w:rsid w:val="009613DE"/>
    <w:pPr>
      <w:numPr>
        <w:ilvl w:val="1"/>
      </w:numPr>
      <w:outlineLvl w:val="1"/>
    </w:pPr>
  </w:style>
  <w:style w:type="paragraph" w:styleId="Heading3">
    <w:name w:val="heading 3"/>
    <w:basedOn w:val="Heading2"/>
    <w:next w:val="Normal"/>
    <w:link w:val="Heading3Char"/>
    <w:qFormat/>
    <w:rsid w:val="00C068E8"/>
    <w:pPr>
      <w:numPr>
        <w:ilvl w:val="2"/>
      </w:numPr>
      <w:outlineLvl w:val="2"/>
    </w:pPr>
    <w:rPr>
      <w:b w:val="0"/>
      <w:i/>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1"/>
      </w:numPr>
      <w:spacing w:before="40" w:after="0"/>
      <w:jc w:val="left"/>
      <w:outlineLvl w:val="4"/>
    </w:pPr>
    <w:rPr>
      <w:i/>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rFonts w:ascii="Times New Roman" w:hAnsi="Times New Roman"/>
      <w:sz w:val="18"/>
      <w:vertAlign w:val="superscript"/>
    </w:rPr>
  </w:style>
  <w:style w:type="paragraph" w:customStyle="1" w:styleId="Author">
    <w:name w:val="Author"/>
    <w:basedOn w:val="Normal"/>
    <w:pPr>
      <w:spacing w:before="240" w:after="0"/>
      <w:jc w:val="center"/>
    </w:pPr>
    <w:rPr>
      <w:sz w:val="24"/>
    </w:rPr>
  </w:style>
  <w:style w:type="paragraph" w:customStyle="1" w:styleId="Paper-Title">
    <w:name w:val="Paper-Title"/>
    <w:basedOn w:val="Normal"/>
    <w:pPr>
      <w:spacing w:after="120"/>
      <w:jc w:val="center"/>
    </w:pPr>
    <w:rPr>
      <w:b/>
      <w:noProof/>
      <w:sz w:val="36"/>
    </w:rPr>
  </w:style>
  <w:style w:type="paragraph" w:customStyle="1" w:styleId="Affiliations">
    <w:name w:val="Affiliations"/>
    <w:basedOn w:val="Normal"/>
    <w:pPr>
      <w:spacing w:after="0"/>
      <w:jc w:val="center"/>
    </w:pPr>
    <w:rPr>
      <w:rFonts w:ascii="Helvetica" w:hAnsi="Helvetica"/>
    </w:rPr>
  </w:style>
  <w:style w:type="paragraph" w:styleId="FootnoteText">
    <w:name w:val="footnote text"/>
    <w:basedOn w:val="Normal"/>
    <w:semiHidden/>
    <w:pPr>
      <w:ind w:left="144" w:hanging="144"/>
    </w:pPr>
  </w:style>
  <w:style w:type="paragraph" w:customStyle="1" w:styleId="Bullet">
    <w:name w:val="Bullet"/>
    <w:basedOn w:val="Normal"/>
    <w:pPr>
      <w:numPr>
        <w:numId w:val="2"/>
      </w:numPr>
      <w:ind w:left="357" w:hanging="357"/>
    </w:pPr>
  </w:style>
  <w:style w:type="paragraph" w:styleId="Footer">
    <w:name w:val="footer"/>
    <w:basedOn w:val="Normal"/>
    <w:pPr>
      <w:tabs>
        <w:tab w:val="center" w:pos="4153"/>
        <w:tab w:val="right" w:pos="8306"/>
      </w:tabs>
    </w:pPr>
  </w:style>
  <w:style w:type="paragraph" w:customStyle="1" w:styleId="E-Mail">
    <w:name w:val="E-Mail"/>
    <w:basedOn w:val="Author"/>
    <w:pPr>
      <w:spacing w:before="0" w:after="60"/>
    </w:pPr>
    <w:rPr>
      <w:rFonts w:ascii="Courier" w:hAnsi="Courier"/>
      <w:sz w:val="20"/>
    </w:rPr>
  </w:style>
  <w:style w:type="paragraph" w:customStyle="1" w:styleId="Abstract">
    <w:name w:val="Abstract"/>
    <w:basedOn w:val="Normal"/>
  </w:style>
  <w:style w:type="paragraph" w:styleId="ListNumber3">
    <w:name w:val="List Number 3"/>
    <w:basedOn w:val="Normal"/>
    <w:pPr>
      <w:ind w:left="357" w:hanging="357"/>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ind w:left="284" w:hanging="284"/>
      <w:jc w:val="left"/>
    </w:pPr>
  </w:style>
  <w:style w:type="character" w:styleId="PageNumber">
    <w:name w:val="page number"/>
    <w:basedOn w:val="DefaultParagraphFont"/>
  </w:style>
  <w:style w:type="paragraph" w:styleId="Caption">
    <w:name w:val="caption"/>
    <w:basedOn w:val="Normal"/>
    <w:next w:val="Normal"/>
    <w:qFormat/>
    <w:pPr>
      <w:spacing w:before="120" w:after="120"/>
    </w:pPr>
    <w:rPr>
      <w:b/>
    </w:rPr>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80"/>
      <w:jc w:val="both"/>
    </w:pPr>
    <w:rPr>
      <w:rFonts w:ascii="Courier New" w:hAnsi="Courier New"/>
      <w:lang w:val="pt-PT"/>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alloonText">
    <w:name w:val="Balloon Text"/>
    <w:basedOn w:val="Normal"/>
    <w:link w:val="BalloonTextChar"/>
    <w:uiPriority w:val="99"/>
    <w:semiHidden/>
    <w:unhideWhenUsed/>
    <w:rsid w:val="007273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393"/>
    <w:rPr>
      <w:rFonts w:ascii="Tahoma" w:hAnsi="Tahoma" w:cs="Tahoma"/>
      <w:sz w:val="16"/>
      <w:szCs w:val="16"/>
      <w:lang w:val="pt-PT"/>
    </w:rPr>
  </w:style>
  <w:style w:type="paragraph" w:styleId="Revision">
    <w:name w:val="Revision"/>
    <w:hidden/>
    <w:uiPriority w:val="99"/>
    <w:semiHidden/>
    <w:rsid w:val="00AC71A9"/>
    <w:rPr>
      <w:sz w:val="18"/>
      <w:lang w:val="pt-PT"/>
    </w:rPr>
  </w:style>
  <w:style w:type="character" w:styleId="CommentReference">
    <w:name w:val="annotation reference"/>
    <w:basedOn w:val="DefaultParagraphFont"/>
    <w:uiPriority w:val="99"/>
    <w:semiHidden/>
    <w:unhideWhenUsed/>
    <w:rsid w:val="005F1580"/>
    <w:rPr>
      <w:sz w:val="16"/>
      <w:szCs w:val="16"/>
    </w:rPr>
  </w:style>
  <w:style w:type="paragraph" w:styleId="CommentSubject">
    <w:name w:val="annotation subject"/>
    <w:basedOn w:val="CommentText"/>
    <w:next w:val="CommentText"/>
    <w:link w:val="CommentSubjectChar"/>
    <w:uiPriority w:val="99"/>
    <w:semiHidden/>
    <w:unhideWhenUsed/>
    <w:rsid w:val="005F1580"/>
    <w:rPr>
      <w:b/>
      <w:bCs/>
      <w:sz w:val="20"/>
    </w:rPr>
  </w:style>
  <w:style w:type="character" w:customStyle="1" w:styleId="CommentTextChar">
    <w:name w:val="Comment Text Char"/>
    <w:basedOn w:val="DefaultParagraphFont"/>
    <w:link w:val="CommentText"/>
    <w:semiHidden/>
    <w:rsid w:val="005F1580"/>
    <w:rPr>
      <w:sz w:val="18"/>
      <w:lang w:val="pt-PT"/>
    </w:rPr>
  </w:style>
  <w:style w:type="character" w:customStyle="1" w:styleId="CommentSubjectChar">
    <w:name w:val="Comment Subject Char"/>
    <w:basedOn w:val="CommentTextChar"/>
    <w:link w:val="CommentSubject"/>
    <w:uiPriority w:val="99"/>
    <w:semiHidden/>
    <w:rsid w:val="005F1580"/>
    <w:rPr>
      <w:b/>
      <w:bCs/>
      <w:sz w:val="18"/>
      <w:lang w:val="pt-PT"/>
    </w:rPr>
  </w:style>
  <w:style w:type="table" w:styleId="TableGrid">
    <w:name w:val="Table Grid"/>
    <w:basedOn w:val="TableNormal"/>
    <w:uiPriority w:val="59"/>
    <w:rsid w:val="005F15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5C62"/>
    <w:pPr>
      <w:ind w:left="720"/>
      <w:contextualSpacing/>
    </w:pPr>
  </w:style>
  <w:style w:type="table" w:styleId="LightShading">
    <w:name w:val="Light Shading"/>
    <w:basedOn w:val="TableNormal"/>
    <w:uiPriority w:val="60"/>
    <w:rsid w:val="003C782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rsid w:val="00C068E8"/>
    <w:rPr>
      <w:i/>
      <w:kern w:val="28"/>
      <w:sz w:val="18"/>
      <w:lang w:val="pt-PT"/>
    </w:rPr>
  </w:style>
  <w:style w:type="table" w:customStyle="1" w:styleId="TableGrid1">
    <w:name w:val="Table Grid1"/>
    <w:basedOn w:val="TableNormal"/>
    <w:next w:val="TableGrid"/>
    <w:uiPriority w:val="59"/>
    <w:rsid w:val="00815311"/>
    <w:rPr>
      <w:rFonts w:ascii="Cambria" w:eastAsia="MS Mincho"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0">
    <w:name w:val="BodyTextIndent"/>
    <w:basedOn w:val="Normal"/>
    <w:link w:val="BodyTextIndentChar"/>
    <w:autoRedefine/>
    <w:qFormat/>
    <w:rsid w:val="009A5354"/>
    <w:pPr>
      <w:autoSpaceDE w:val="0"/>
      <w:autoSpaceDN w:val="0"/>
      <w:adjustRightInd w:val="0"/>
      <w:spacing w:after="0" w:line="200" w:lineRule="exact"/>
      <w:ind w:firstLine="173"/>
    </w:pPr>
    <w:rPr>
      <w:rFonts w:ascii="Times" w:hAnsi="Times"/>
      <w:lang w:val="en-US"/>
    </w:rPr>
  </w:style>
  <w:style w:type="character" w:customStyle="1" w:styleId="BodyTextIndentChar">
    <w:name w:val="BodyTextIndent Char"/>
    <w:link w:val="BodyTextIndent0"/>
    <w:rsid w:val="009A5354"/>
    <w:rPr>
      <w:rFonts w:ascii="Times" w:hAnsi="Times"/>
      <w:sz w:val="18"/>
    </w:rPr>
  </w:style>
  <w:style w:type="paragraph" w:customStyle="1" w:styleId="FigureCaption">
    <w:name w:val="Figure Caption"/>
    <w:basedOn w:val="Normal"/>
    <w:autoRedefine/>
    <w:rsid w:val="002F639B"/>
    <w:pPr>
      <w:spacing w:before="30" w:after="180" w:line="190" w:lineRule="exact"/>
      <w:ind w:firstLine="0"/>
      <w:jc w:val="left"/>
    </w:pPr>
    <w:rPr>
      <w:rFonts w:ascii="Helvetica" w:hAnsi="Helvetica"/>
      <w:sz w:val="16"/>
      <w:szCs w:val="24"/>
      <w:lang w:val="en-US"/>
    </w:rPr>
  </w:style>
  <w:style w:type="paragraph" w:customStyle="1" w:styleId="TableCaption">
    <w:name w:val="Table Caption"/>
    <w:basedOn w:val="FigureCaption"/>
    <w:autoRedefine/>
    <w:rsid w:val="00927460"/>
    <w:pPr>
      <w:keepNext/>
      <w:spacing w:before="0"/>
    </w:pPr>
  </w:style>
  <w:style w:type="paragraph" w:customStyle="1" w:styleId="Heading1Introduction">
    <w:name w:val="Heading 1 Introduction"/>
    <w:basedOn w:val="Heading1"/>
    <w:autoRedefine/>
    <w:rsid w:val="00F847E3"/>
    <w:pPr>
      <w:numPr>
        <w:numId w:val="19"/>
      </w:numPr>
      <w:tabs>
        <w:tab w:val="left" w:pos="284"/>
      </w:tabs>
      <w:spacing w:before="380" w:after="80" w:line="200" w:lineRule="exact"/>
    </w:pPr>
    <w:rPr>
      <w:rFonts w:ascii="Helvetica" w:hAnsi="Helvetica"/>
      <w:smallCaps/>
      <w:spacing w:val="13"/>
      <w:kern w:val="32"/>
      <w:szCs w:val="24"/>
      <w:lang w:val="en-US"/>
    </w:rPr>
  </w:style>
  <w:style w:type="paragraph" w:customStyle="1" w:styleId="AbstractText">
    <w:name w:val="AbstractText"/>
    <w:basedOn w:val="Heading1"/>
    <w:link w:val="AbstractTextChar"/>
    <w:qFormat/>
    <w:rsid w:val="0070711C"/>
    <w:pPr>
      <w:numPr>
        <w:numId w:val="0"/>
      </w:numPr>
      <w:spacing w:before="0"/>
      <w:ind w:left="284" w:right="397"/>
    </w:pPr>
    <w:rPr>
      <w:b w:val="0"/>
      <w:i/>
      <w:lang w:val="en-US"/>
    </w:rPr>
  </w:style>
  <w:style w:type="paragraph" w:customStyle="1" w:styleId="AbstractHeading">
    <w:name w:val="AbstractHeading"/>
    <w:basedOn w:val="Heading1"/>
    <w:next w:val="AbstractText"/>
    <w:link w:val="AbstractHeadingChar"/>
    <w:qFormat/>
    <w:rsid w:val="0070711C"/>
    <w:pPr>
      <w:numPr>
        <w:numId w:val="0"/>
      </w:numPr>
      <w:spacing w:before="0" w:after="0"/>
      <w:ind w:left="288" w:right="403"/>
    </w:pPr>
    <w:rPr>
      <w:lang w:val="en-US"/>
    </w:rPr>
  </w:style>
  <w:style w:type="character" w:customStyle="1" w:styleId="Heading1Char">
    <w:name w:val="Heading 1 Char"/>
    <w:basedOn w:val="DefaultParagraphFont"/>
    <w:link w:val="Heading1"/>
    <w:rsid w:val="00BA046B"/>
    <w:rPr>
      <w:b/>
      <w:kern w:val="28"/>
      <w:sz w:val="18"/>
      <w:lang w:val="pt-PT"/>
    </w:rPr>
  </w:style>
  <w:style w:type="character" w:customStyle="1" w:styleId="AbstractTextChar">
    <w:name w:val="AbstractText Char"/>
    <w:basedOn w:val="Heading1Char"/>
    <w:link w:val="AbstractText"/>
    <w:rsid w:val="0070711C"/>
    <w:rPr>
      <w:b w:val="0"/>
      <w:i/>
      <w:kern w:val="28"/>
      <w:sz w:val="18"/>
      <w:lang w:val="pt-PT"/>
    </w:rPr>
  </w:style>
  <w:style w:type="numbering" w:customStyle="1" w:styleId="Style1">
    <w:name w:val="Style1"/>
    <w:uiPriority w:val="99"/>
    <w:rsid w:val="00BA046B"/>
    <w:pPr>
      <w:numPr>
        <w:numId w:val="20"/>
      </w:numPr>
    </w:pPr>
  </w:style>
  <w:style w:type="character" w:customStyle="1" w:styleId="AbstractHeadingChar">
    <w:name w:val="AbstractHeading Char"/>
    <w:basedOn w:val="Heading1Char"/>
    <w:link w:val="AbstractHeading"/>
    <w:rsid w:val="0070711C"/>
    <w:rPr>
      <w:b/>
      <w:kern w:val="28"/>
      <w:sz w:val="18"/>
      <w:lang w:val="pt-PT"/>
    </w:rPr>
  </w:style>
  <w:style w:type="paragraph" w:customStyle="1" w:styleId="Bio">
    <w:name w:val="Bio"/>
    <w:basedOn w:val="Normal"/>
    <w:link w:val="BioChar"/>
    <w:rsid w:val="005C194F"/>
    <w:pPr>
      <w:ind w:left="288" w:hanging="288"/>
    </w:pPr>
  </w:style>
  <w:style w:type="paragraph" w:customStyle="1" w:styleId="Bio2">
    <w:name w:val="Bio 2"/>
    <w:basedOn w:val="Bio"/>
    <w:link w:val="Bio2Char"/>
    <w:qFormat/>
    <w:rsid w:val="005C194F"/>
  </w:style>
  <w:style w:type="character" w:customStyle="1" w:styleId="BodyTextNoIndentChar">
    <w:name w:val="BodyTextNoIndent Char"/>
    <w:basedOn w:val="BodyTextIndentChar"/>
    <w:rsid w:val="003462C7"/>
    <w:rPr>
      <w:rFonts w:ascii="Times" w:hAnsi="Times"/>
      <w:sz w:val="18"/>
    </w:rPr>
  </w:style>
  <w:style w:type="character" w:customStyle="1" w:styleId="BioChar">
    <w:name w:val="Bio Char"/>
    <w:basedOn w:val="DefaultParagraphFont"/>
    <w:link w:val="Bio"/>
    <w:rsid w:val="005C194F"/>
    <w:rPr>
      <w:sz w:val="18"/>
      <w:lang w:val="pt-PT"/>
    </w:rPr>
  </w:style>
  <w:style w:type="paragraph" w:customStyle="1" w:styleId="BodyTextNoIndent">
    <w:name w:val="BodyTextNoIndent"/>
    <w:basedOn w:val="Bio"/>
    <w:link w:val="BodyTextNoIndentChar1"/>
    <w:qFormat/>
    <w:rsid w:val="0096577D"/>
    <w:pPr>
      <w:spacing w:after="0"/>
      <w:ind w:left="0" w:firstLine="0"/>
    </w:pPr>
  </w:style>
  <w:style w:type="character" w:customStyle="1" w:styleId="Bio2Char">
    <w:name w:val="Bio 2 Char"/>
    <w:basedOn w:val="BioChar"/>
    <w:link w:val="Bio2"/>
    <w:rsid w:val="005C194F"/>
    <w:rPr>
      <w:sz w:val="18"/>
      <w:lang w:val="pt-PT"/>
    </w:rPr>
  </w:style>
  <w:style w:type="character" w:customStyle="1" w:styleId="BodyTextNoIndentChar1">
    <w:name w:val="BodyTextNoIndent Char1"/>
    <w:basedOn w:val="BioChar"/>
    <w:link w:val="BodyTextNoIndent"/>
    <w:rsid w:val="0096577D"/>
    <w:rPr>
      <w:sz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80323">
      <w:bodyDiv w:val="1"/>
      <w:marLeft w:val="0"/>
      <w:marRight w:val="0"/>
      <w:marTop w:val="0"/>
      <w:marBottom w:val="0"/>
      <w:divBdr>
        <w:top w:val="none" w:sz="0" w:space="0" w:color="auto"/>
        <w:left w:val="none" w:sz="0" w:space="0" w:color="auto"/>
        <w:bottom w:val="none" w:sz="0" w:space="0" w:color="auto"/>
        <w:right w:val="none" w:sz="0" w:space="0" w:color="auto"/>
      </w:divBdr>
    </w:div>
    <w:div w:id="339622905">
      <w:bodyDiv w:val="1"/>
      <w:marLeft w:val="5"/>
      <w:marRight w:val="5"/>
      <w:marTop w:val="0"/>
      <w:marBottom w:val="0"/>
      <w:divBdr>
        <w:top w:val="none" w:sz="0" w:space="0" w:color="auto"/>
        <w:left w:val="none" w:sz="0" w:space="0" w:color="auto"/>
        <w:bottom w:val="none" w:sz="0" w:space="0" w:color="auto"/>
        <w:right w:val="none" w:sz="0" w:space="0" w:color="auto"/>
      </w:divBdr>
      <w:divsChild>
        <w:div w:id="1879928216">
          <w:marLeft w:val="0"/>
          <w:marRight w:val="16"/>
          <w:marTop w:val="0"/>
          <w:marBottom w:val="0"/>
          <w:divBdr>
            <w:top w:val="none" w:sz="0" w:space="0" w:color="auto"/>
            <w:left w:val="none" w:sz="0" w:space="0" w:color="auto"/>
            <w:bottom w:val="none" w:sz="0" w:space="0" w:color="auto"/>
            <w:right w:val="none" w:sz="0" w:space="0" w:color="auto"/>
          </w:divBdr>
        </w:div>
      </w:divsChild>
    </w:div>
    <w:div w:id="385957354">
      <w:bodyDiv w:val="1"/>
      <w:marLeft w:val="0"/>
      <w:marRight w:val="0"/>
      <w:marTop w:val="0"/>
      <w:marBottom w:val="0"/>
      <w:divBdr>
        <w:top w:val="none" w:sz="0" w:space="0" w:color="auto"/>
        <w:left w:val="none" w:sz="0" w:space="0" w:color="auto"/>
        <w:bottom w:val="none" w:sz="0" w:space="0" w:color="auto"/>
        <w:right w:val="none" w:sz="0" w:space="0" w:color="auto"/>
      </w:divBdr>
    </w:div>
    <w:div w:id="523131926">
      <w:bodyDiv w:val="1"/>
      <w:marLeft w:val="5"/>
      <w:marRight w:val="5"/>
      <w:marTop w:val="0"/>
      <w:marBottom w:val="0"/>
      <w:divBdr>
        <w:top w:val="none" w:sz="0" w:space="0" w:color="auto"/>
        <w:left w:val="none" w:sz="0" w:space="0" w:color="auto"/>
        <w:bottom w:val="none" w:sz="0" w:space="0" w:color="auto"/>
        <w:right w:val="none" w:sz="0" w:space="0" w:color="auto"/>
      </w:divBdr>
      <w:divsChild>
        <w:div w:id="2007660526">
          <w:marLeft w:val="0"/>
          <w:marRight w:val="16"/>
          <w:marTop w:val="0"/>
          <w:marBottom w:val="0"/>
          <w:divBdr>
            <w:top w:val="none" w:sz="0" w:space="0" w:color="auto"/>
            <w:left w:val="none" w:sz="0" w:space="0" w:color="auto"/>
            <w:bottom w:val="none" w:sz="0" w:space="0" w:color="auto"/>
            <w:right w:val="none" w:sz="0" w:space="0" w:color="auto"/>
          </w:divBdr>
        </w:div>
      </w:divsChild>
    </w:div>
    <w:div w:id="685594506">
      <w:bodyDiv w:val="1"/>
      <w:marLeft w:val="0"/>
      <w:marRight w:val="0"/>
      <w:marTop w:val="0"/>
      <w:marBottom w:val="0"/>
      <w:divBdr>
        <w:top w:val="none" w:sz="0" w:space="0" w:color="auto"/>
        <w:left w:val="none" w:sz="0" w:space="0" w:color="auto"/>
        <w:bottom w:val="none" w:sz="0" w:space="0" w:color="auto"/>
        <w:right w:val="none" w:sz="0" w:space="0" w:color="auto"/>
      </w:divBdr>
    </w:div>
    <w:div w:id="850753086">
      <w:bodyDiv w:val="1"/>
      <w:marLeft w:val="0"/>
      <w:marRight w:val="0"/>
      <w:marTop w:val="0"/>
      <w:marBottom w:val="0"/>
      <w:divBdr>
        <w:top w:val="none" w:sz="0" w:space="0" w:color="auto"/>
        <w:left w:val="none" w:sz="0" w:space="0" w:color="auto"/>
        <w:bottom w:val="none" w:sz="0" w:space="0" w:color="auto"/>
        <w:right w:val="none" w:sz="0" w:space="0" w:color="auto"/>
      </w:divBdr>
      <w:divsChild>
        <w:div w:id="1094669322">
          <w:marLeft w:val="0"/>
          <w:marRight w:val="0"/>
          <w:marTop w:val="0"/>
          <w:marBottom w:val="0"/>
          <w:divBdr>
            <w:top w:val="none" w:sz="0" w:space="0" w:color="auto"/>
            <w:left w:val="none" w:sz="0" w:space="0" w:color="auto"/>
            <w:bottom w:val="none" w:sz="0" w:space="0" w:color="auto"/>
            <w:right w:val="none" w:sz="0" w:space="0" w:color="auto"/>
          </w:divBdr>
          <w:divsChild>
            <w:div w:id="1880894672">
              <w:marLeft w:val="0"/>
              <w:marRight w:val="0"/>
              <w:marTop w:val="0"/>
              <w:marBottom w:val="0"/>
              <w:divBdr>
                <w:top w:val="none" w:sz="0" w:space="0" w:color="auto"/>
                <w:left w:val="none" w:sz="0" w:space="0" w:color="auto"/>
                <w:bottom w:val="none" w:sz="0" w:space="0" w:color="auto"/>
                <w:right w:val="none" w:sz="0" w:space="0" w:color="auto"/>
              </w:divBdr>
              <w:divsChild>
                <w:div w:id="912274332">
                  <w:marLeft w:val="0"/>
                  <w:marRight w:val="0"/>
                  <w:marTop w:val="0"/>
                  <w:marBottom w:val="0"/>
                  <w:divBdr>
                    <w:top w:val="none" w:sz="0" w:space="0" w:color="auto"/>
                    <w:left w:val="none" w:sz="0" w:space="0" w:color="auto"/>
                    <w:bottom w:val="none" w:sz="0" w:space="0" w:color="auto"/>
                    <w:right w:val="none" w:sz="0" w:space="0" w:color="auto"/>
                  </w:divBdr>
                  <w:divsChild>
                    <w:div w:id="2090954918">
                      <w:marLeft w:val="150"/>
                      <w:marRight w:val="150"/>
                      <w:marTop w:val="0"/>
                      <w:marBottom w:val="150"/>
                      <w:divBdr>
                        <w:top w:val="none" w:sz="0" w:space="0" w:color="auto"/>
                        <w:left w:val="none" w:sz="0" w:space="0" w:color="auto"/>
                        <w:bottom w:val="none" w:sz="0" w:space="0" w:color="auto"/>
                        <w:right w:val="none" w:sz="0" w:space="0" w:color="auto"/>
                      </w:divBdr>
                      <w:divsChild>
                        <w:div w:id="20594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592110">
      <w:bodyDiv w:val="1"/>
      <w:marLeft w:val="0"/>
      <w:marRight w:val="0"/>
      <w:marTop w:val="0"/>
      <w:marBottom w:val="0"/>
      <w:divBdr>
        <w:top w:val="none" w:sz="0" w:space="0" w:color="auto"/>
        <w:left w:val="none" w:sz="0" w:space="0" w:color="auto"/>
        <w:bottom w:val="none" w:sz="0" w:space="0" w:color="auto"/>
        <w:right w:val="none" w:sz="0" w:space="0" w:color="auto"/>
      </w:divBdr>
    </w:div>
    <w:div w:id="1005284491">
      <w:bodyDiv w:val="1"/>
      <w:marLeft w:val="0"/>
      <w:marRight w:val="0"/>
      <w:marTop w:val="0"/>
      <w:marBottom w:val="0"/>
      <w:divBdr>
        <w:top w:val="none" w:sz="0" w:space="0" w:color="auto"/>
        <w:left w:val="none" w:sz="0" w:space="0" w:color="auto"/>
        <w:bottom w:val="none" w:sz="0" w:space="0" w:color="auto"/>
        <w:right w:val="none" w:sz="0" w:space="0" w:color="auto"/>
      </w:divBdr>
    </w:div>
    <w:div w:id="1042679338">
      <w:bodyDiv w:val="1"/>
      <w:marLeft w:val="0"/>
      <w:marRight w:val="0"/>
      <w:marTop w:val="0"/>
      <w:marBottom w:val="0"/>
      <w:divBdr>
        <w:top w:val="none" w:sz="0" w:space="0" w:color="auto"/>
        <w:left w:val="none" w:sz="0" w:space="0" w:color="auto"/>
        <w:bottom w:val="none" w:sz="0" w:space="0" w:color="auto"/>
        <w:right w:val="none" w:sz="0" w:space="0" w:color="auto"/>
      </w:divBdr>
    </w:div>
    <w:div w:id="1613515715">
      <w:bodyDiv w:val="1"/>
      <w:marLeft w:val="0"/>
      <w:marRight w:val="0"/>
      <w:marTop w:val="0"/>
      <w:marBottom w:val="0"/>
      <w:divBdr>
        <w:top w:val="none" w:sz="0" w:space="0" w:color="auto"/>
        <w:left w:val="none" w:sz="0" w:space="0" w:color="auto"/>
        <w:bottom w:val="none" w:sz="0" w:space="0" w:color="auto"/>
        <w:right w:val="none" w:sz="0" w:space="0" w:color="auto"/>
      </w:divBdr>
      <w:divsChild>
        <w:div w:id="514227031">
          <w:marLeft w:val="0"/>
          <w:marRight w:val="0"/>
          <w:marTop w:val="0"/>
          <w:marBottom w:val="0"/>
          <w:divBdr>
            <w:top w:val="none" w:sz="0" w:space="0" w:color="auto"/>
            <w:left w:val="none" w:sz="0" w:space="0" w:color="auto"/>
            <w:bottom w:val="none" w:sz="0" w:space="0" w:color="auto"/>
            <w:right w:val="none" w:sz="0" w:space="0" w:color="auto"/>
          </w:divBdr>
          <w:divsChild>
            <w:div w:id="14121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44546">
      <w:bodyDiv w:val="1"/>
      <w:marLeft w:val="0"/>
      <w:marRight w:val="0"/>
      <w:marTop w:val="0"/>
      <w:marBottom w:val="0"/>
      <w:divBdr>
        <w:top w:val="none" w:sz="0" w:space="0" w:color="auto"/>
        <w:left w:val="none" w:sz="0" w:space="0" w:color="auto"/>
        <w:bottom w:val="none" w:sz="0" w:space="0" w:color="auto"/>
        <w:right w:val="none" w:sz="0" w:space="0" w:color="auto"/>
      </w:divBdr>
    </w:div>
    <w:div w:id="2026785242">
      <w:bodyDiv w:val="1"/>
      <w:marLeft w:val="0"/>
      <w:marRight w:val="0"/>
      <w:marTop w:val="0"/>
      <w:marBottom w:val="0"/>
      <w:divBdr>
        <w:top w:val="none" w:sz="0" w:space="0" w:color="auto"/>
        <w:left w:val="none" w:sz="0" w:space="0" w:color="auto"/>
        <w:bottom w:val="none" w:sz="0" w:space="0" w:color="auto"/>
        <w:right w:val="none" w:sz="0" w:space="0" w:color="auto"/>
      </w:divBdr>
    </w:div>
    <w:div w:id="2059553031">
      <w:bodyDiv w:val="1"/>
      <w:marLeft w:val="0"/>
      <w:marRight w:val="0"/>
      <w:marTop w:val="0"/>
      <w:marBottom w:val="0"/>
      <w:divBdr>
        <w:top w:val="none" w:sz="0" w:space="0" w:color="auto"/>
        <w:left w:val="none" w:sz="0" w:space="0" w:color="auto"/>
        <w:bottom w:val="none" w:sz="0" w:space="0" w:color="auto"/>
        <w:right w:val="none" w:sz="0" w:space="0" w:color="auto"/>
      </w:divBdr>
      <w:divsChild>
        <w:div w:id="118693052">
          <w:marLeft w:val="0"/>
          <w:marRight w:val="0"/>
          <w:marTop w:val="0"/>
          <w:marBottom w:val="0"/>
          <w:divBdr>
            <w:top w:val="none" w:sz="0" w:space="0" w:color="auto"/>
            <w:left w:val="none" w:sz="0" w:space="0" w:color="auto"/>
            <w:bottom w:val="none" w:sz="0" w:space="0" w:color="auto"/>
            <w:right w:val="none" w:sz="0" w:space="0" w:color="auto"/>
          </w:divBdr>
          <w:divsChild>
            <w:div w:id="20300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emf"/><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60.emf"/><Relationship Id="rId34" Type="http://schemas.openxmlformats.org/officeDocument/2006/relationships/image" Target="media/image16.png"/><Relationship Id="rId42" Type="http://schemas.openxmlformats.org/officeDocument/2006/relationships/image" Target="media/image200.png"/><Relationship Id="rId47" Type="http://schemas.openxmlformats.org/officeDocument/2006/relationships/fontTable" Target="fontTable.xml"/><Relationship Id="rId7" Type="http://schemas.openxmlformats.org/officeDocument/2006/relationships/footnotes" Target="footnotes.xml"/><Relationship Id="rId17" Type="http://schemas.openxmlformats.org/officeDocument/2006/relationships/image" Target="media/image40.emf"/><Relationship Id="rId25" Type="http://schemas.openxmlformats.org/officeDocument/2006/relationships/image" Target="media/image8.png"/><Relationship Id="rId33" Type="http://schemas.openxmlformats.org/officeDocument/2006/relationships/oleObject" Target="embeddings/oleObject1.bin"/><Relationship Id="rId38" Type="http://schemas.openxmlformats.org/officeDocument/2006/relationships/image" Target="media/image19.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image" Target="media/image12.png"/><Relationship Id="rId41" Type="http://schemas.openxmlformats.org/officeDocument/2006/relationships/image" Target="media/image190.emf"/><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eader" Target="header1.xml"/><Relationship Id="rId32" Type="http://schemas.openxmlformats.org/officeDocument/2006/relationships/image" Target="media/image15.png"/><Relationship Id="rId37" Type="http://schemas.openxmlformats.org/officeDocument/2006/relationships/image" Target="media/image180.emf"/><Relationship Id="rId40" Type="http://schemas.openxmlformats.org/officeDocument/2006/relationships/image" Target="cid:image001.png@01CBEB0C.BF206FA0"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image" Target="media/image70.emf"/><Relationship Id="rId28" Type="http://schemas.openxmlformats.org/officeDocument/2006/relationships/image" Target="media/image11.png"/><Relationship Id="rId36" Type="http://schemas.openxmlformats.org/officeDocument/2006/relationships/image" Target="media/image18.emf"/><Relationship Id="rId10" Type="http://schemas.openxmlformats.org/officeDocument/2006/relationships/image" Target="media/image2.emf"/><Relationship Id="rId19" Type="http://schemas.openxmlformats.org/officeDocument/2006/relationships/image" Target="media/image50.png"/><Relationship Id="rId31" Type="http://schemas.openxmlformats.org/officeDocument/2006/relationships/image" Target="media/image14.pn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7.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cid:image001.png@01CBEB0C.BF206FA0" TargetMode="Externa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rucker\AppData\Local\Temp\template-sbm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70D38A6-80F1-4B2D-8CE4-1A4C4F21B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template-sbm04.dot</Template>
  <TotalTime>2</TotalTime>
  <Pages>10</Pages>
  <Words>6956</Words>
  <Characters>39653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MS-Word Guidelines for SBM'04</vt:lpstr>
    </vt:vector>
  </TitlesOfParts>
  <Manager>Joaquim Jorge</Manager>
  <Company>Eurographics</Company>
  <LinksUpToDate>false</LinksUpToDate>
  <CharactersWithSpaces>46516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MS-Word Guidelines for SBM'04</dc:title>
  <dc:creator>Steven M. Drucker</dc:creator>
  <cp:lastModifiedBy>Steven M. Drucker</cp:lastModifiedBy>
  <cp:revision>5</cp:revision>
  <cp:lastPrinted>2011-12-09T22:08:00Z</cp:lastPrinted>
  <dcterms:created xsi:type="dcterms:W3CDTF">2012-02-21T18:57:00Z</dcterms:created>
  <dcterms:modified xsi:type="dcterms:W3CDTF">2012-02-21T18:58:00Z</dcterms:modified>
  <cp:category>Paper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filetime>1999-12-04T23:00:00Z</vt:filetime>
  </property>
  <property fmtid="{D5CDD505-2E9C-101B-9397-08002B2CF9AE}" pid="3" name="Editor">
    <vt:lpwstr>Joaquim Jorge</vt:lpwstr>
  </property>
</Properties>
</file>