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03C08D0F"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Government Eligibility Definition (</w:t>
      </w:r>
      <w:r w:rsidR="00EE24D7">
        <w:rPr>
          <w:sz w:val="36"/>
          <w:szCs w:val="36"/>
        </w:rPr>
        <w:t>Vietnam</w:t>
      </w:r>
      <w:r w:rsidRPr="00883E16">
        <w:rPr>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EE24D7" w:rsidRPr="00883E16" w14:paraId="301AE698" w14:textId="77777777" w:rsidTr="00165890">
        <w:trPr>
          <w:cantSplit/>
          <w:tblHeader/>
          <w:jc w:val="center"/>
        </w:trPr>
        <w:tc>
          <w:tcPr>
            <w:tcW w:w="2341" w:type="dxa"/>
            <w:vAlign w:val="center"/>
          </w:tcPr>
          <w:p w14:paraId="301AE696" w14:textId="3EA9FF4D" w:rsidR="00EE24D7" w:rsidRPr="00EE24D7" w:rsidRDefault="00EE24D7" w:rsidP="00EE24D7">
            <w:pPr>
              <w:spacing w:before="120" w:after="120"/>
              <w:jc w:val="left"/>
              <w:rPr>
                <w:b/>
                <w:bCs/>
              </w:rPr>
            </w:pPr>
            <w:r w:rsidRPr="00EE24D7">
              <w:rPr>
                <w:b/>
                <w:bCs/>
              </w:rPr>
              <w:t>A. Supranational</w:t>
            </w:r>
          </w:p>
        </w:tc>
        <w:tc>
          <w:tcPr>
            <w:tcW w:w="6688" w:type="dxa"/>
            <w:vAlign w:val="center"/>
          </w:tcPr>
          <w:p w14:paraId="084521ED" w14:textId="77777777" w:rsidR="00EE24D7" w:rsidRPr="00EE24D7" w:rsidRDefault="00EE24D7" w:rsidP="00EE24D7">
            <w:pPr>
              <w:spacing w:before="120" w:after="120"/>
            </w:pPr>
            <w:r w:rsidRPr="00EE24D7">
              <w:t>All organizations/institutions that have a discernible regulatory or legislative role across many national governments.</w:t>
            </w:r>
          </w:p>
          <w:p w14:paraId="301AE697" w14:textId="5F333E50" w:rsidR="00EE24D7" w:rsidRPr="00EE24D7" w:rsidRDefault="00EE24D7" w:rsidP="00EE24D7">
            <w:pPr>
              <w:spacing w:before="120" w:after="120"/>
            </w:pPr>
            <w:r w:rsidRPr="00EE24D7">
              <w:rPr>
                <w:lang w:val="en-GB"/>
              </w:rPr>
              <w:t>All governmental organizations/institutions that are managed at the national level, and have a remit for governing across a nation or country.  This will include parliamentary bodies and judicial bodies with powers of setting or deciding on the rule of law.</w:t>
            </w:r>
          </w:p>
        </w:tc>
      </w:tr>
      <w:tr w:rsidR="00EE24D7" w:rsidRPr="00883E16" w14:paraId="301AE69B" w14:textId="77777777" w:rsidTr="00165890">
        <w:trPr>
          <w:cantSplit/>
          <w:tblHeader/>
          <w:jc w:val="center"/>
        </w:trPr>
        <w:tc>
          <w:tcPr>
            <w:tcW w:w="2341" w:type="dxa"/>
            <w:vAlign w:val="center"/>
          </w:tcPr>
          <w:p w14:paraId="301AE699" w14:textId="3EA3D5EB" w:rsidR="00EE24D7" w:rsidRPr="00EE24D7" w:rsidRDefault="00EE24D7" w:rsidP="00EE24D7">
            <w:pPr>
              <w:spacing w:before="120" w:after="120"/>
              <w:jc w:val="left"/>
              <w:rPr>
                <w:b/>
                <w:bCs/>
              </w:rPr>
            </w:pPr>
            <w:r w:rsidRPr="00EE24D7">
              <w:rPr>
                <w:b/>
                <w:bCs/>
              </w:rPr>
              <w:t>B. Provincial</w:t>
            </w:r>
          </w:p>
        </w:tc>
        <w:tc>
          <w:tcPr>
            <w:tcW w:w="6688" w:type="dxa"/>
            <w:vAlign w:val="center"/>
          </w:tcPr>
          <w:p w14:paraId="301AE69A" w14:textId="2D5E82FF" w:rsidR="00EE24D7" w:rsidRPr="00EE24D7" w:rsidRDefault="00EE24D7" w:rsidP="00EE24D7">
            <w:pPr>
              <w:spacing w:before="120" w:after="120"/>
            </w:pPr>
            <w:r w:rsidRPr="00EE24D7">
              <w:t>An intermediate tier of Government that does not cover an entire country but has multiple areas of local government within their governing jurisdiction. This includes (1) all governmental organizations/institutions that are managed at the regional level and which are called variously: regions, departments, or provinces; and (2) all departments, parliamentary bodies, regulatory authorities and judicial bodies with powers of setting or deciding on the rule of law in that region, department, state, lander, county or province.</w:t>
            </w:r>
          </w:p>
        </w:tc>
      </w:tr>
      <w:tr w:rsidR="00EE24D7" w:rsidRPr="00883E16" w14:paraId="301AE69E" w14:textId="77777777" w:rsidTr="00165890">
        <w:trPr>
          <w:cantSplit/>
          <w:tblHeader/>
          <w:jc w:val="center"/>
        </w:trPr>
        <w:tc>
          <w:tcPr>
            <w:tcW w:w="2341" w:type="dxa"/>
            <w:vAlign w:val="center"/>
          </w:tcPr>
          <w:p w14:paraId="301AE69C" w14:textId="466A3D49" w:rsidR="00EE24D7" w:rsidRPr="00EE24D7" w:rsidRDefault="00EE24D7" w:rsidP="00EE24D7">
            <w:pPr>
              <w:spacing w:before="120" w:after="120"/>
              <w:jc w:val="left"/>
              <w:rPr>
                <w:b/>
                <w:bCs/>
              </w:rPr>
            </w:pPr>
            <w:r w:rsidRPr="00EE24D7">
              <w:rPr>
                <w:b/>
                <w:bCs/>
              </w:rPr>
              <w:t>C. Local/ Municipal</w:t>
            </w:r>
          </w:p>
        </w:tc>
        <w:tc>
          <w:tcPr>
            <w:tcW w:w="6688" w:type="dxa"/>
            <w:vAlign w:val="center"/>
          </w:tcPr>
          <w:p w14:paraId="301AE69D" w14:textId="36E2F9F2" w:rsidR="00EE24D7" w:rsidRPr="00EE24D7" w:rsidRDefault="00EE24D7" w:rsidP="00EE24D7">
            <w:pPr>
              <w:spacing w:before="120" w:after="120"/>
            </w:pPr>
            <w:r w:rsidRPr="00EE24D7">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t>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organizations (whether incorporated or not) undertaking commercial activities (e.g., telecommunications, banking, transportation etc</w:t>
      </w:r>
      <w:r w:rsidR="00FB294F" w:rsidRPr="00883E16">
        <w:t>.</w:t>
      </w:r>
      <w:r w:rsidRPr="00883E16">
        <w:t xml:space="preserve">) do not qualify as an eligible entity. </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7AD8B9E2" w:rsidR="00F9352D" w:rsidRPr="00883E16" w:rsidRDefault="00A561A9" w:rsidP="000A6499">
      <w:bookmarkStart w:id="1" w:name="OLE_LINK1"/>
      <w:bookmarkStart w:id="2" w:name="OLE_LINK2"/>
      <w:r>
        <w:t xml:space="preserve">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w:t>
      </w:r>
      <w:r>
        <w:lastRenderedPageBreak/>
        <w:t>Enterprise Subscription, Select, or Select Plus volume licensing programs or (2) other discounts that may be available under other Microsoft volume licensing programs.</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551B2" w14:textId="77777777" w:rsidR="00A136DF" w:rsidRDefault="00A136DF" w:rsidP="00CF4E9C">
      <w:pPr>
        <w:spacing w:before="0"/>
      </w:pPr>
      <w:r>
        <w:separator/>
      </w:r>
    </w:p>
  </w:endnote>
  <w:endnote w:type="continuationSeparator" w:id="0">
    <w:p w14:paraId="194853BF" w14:textId="77777777" w:rsidR="00A136DF" w:rsidRDefault="00A136DF"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15C1E" w14:textId="77777777" w:rsidR="00586B58" w:rsidRDefault="00586B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586B58" w:rsidRPr="00586B58" w14:paraId="4EE7C5DC" w14:textId="77777777" w:rsidTr="00977659">
      <w:trPr>
        <w:jc w:val="center"/>
      </w:trPr>
      <w:tc>
        <w:tcPr>
          <w:tcW w:w="4621" w:type="dxa"/>
          <w:shd w:val="clear" w:color="auto" w:fill="auto"/>
        </w:tcPr>
        <w:p w14:paraId="1BD88CAE" w14:textId="77777777" w:rsidR="00586B58" w:rsidRPr="00586B58" w:rsidRDefault="00586B58" w:rsidP="00586B58">
          <w:pPr>
            <w:pStyle w:val="Footer"/>
            <w:rPr>
              <w:sz w:val="16"/>
              <w:szCs w:val="16"/>
            </w:rPr>
          </w:pPr>
          <w:r w:rsidRPr="00586B58">
            <w:rPr>
              <w:sz w:val="16"/>
              <w:szCs w:val="16"/>
            </w:rPr>
            <w:t>GovEligibilityDef(Asia)VIE(ENG)(Nov2014)</w:t>
          </w:r>
        </w:p>
      </w:tc>
      <w:tc>
        <w:tcPr>
          <w:tcW w:w="4622" w:type="dxa"/>
          <w:shd w:val="clear" w:color="auto" w:fill="auto"/>
        </w:tcPr>
        <w:p w14:paraId="5D99A382" w14:textId="77777777" w:rsidR="00586B58" w:rsidRPr="00586B58" w:rsidRDefault="00586B58" w:rsidP="00586B58">
          <w:pPr>
            <w:pStyle w:val="Footer"/>
            <w:jc w:val="right"/>
            <w:rPr>
              <w:sz w:val="16"/>
              <w:szCs w:val="16"/>
            </w:rPr>
          </w:pPr>
          <w:r w:rsidRPr="00586B58">
            <w:rPr>
              <w:sz w:val="16"/>
              <w:szCs w:val="16"/>
            </w:rPr>
            <w:t xml:space="preserve">Page </w:t>
          </w:r>
          <w:r w:rsidRPr="00586B58">
            <w:rPr>
              <w:sz w:val="16"/>
              <w:szCs w:val="16"/>
            </w:rPr>
            <w:fldChar w:fldCharType="begin"/>
          </w:r>
          <w:r w:rsidRPr="00586B58">
            <w:rPr>
              <w:sz w:val="16"/>
              <w:szCs w:val="16"/>
            </w:rPr>
            <w:instrText xml:space="preserve"> PAGE  \* MERGEFORMAT </w:instrText>
          </w:r>
          <w:r w:rsidRPr="00586B58">
            <w:rPr>
              <w:sz w:val="16"/>
              <w:szCs w:val="16"/>
            </w:rPr>
            <w:fldChar w:fldCharType="separate"/>
          </w:r>
          <w:r w:rsidR="00A27E31">
            <w:rPr>
              <w:noProof/>
              <w:sz w:val="16"/>
              <w:szCs w:val="16"/>
            </w:rPr>
            <w:t>2</w:t>
          </w:r>
          <w:r w:rsidRPr="00586B58">
            <w:rPr>
              <w:sz w:val="16"/>
              <w:szCs w:val="16"/>
            </w:rPr>
            <w:fldChar w:fldCharType="end"/>
          </w:r>
          <w:r w:rsidRPr="00586B58">
            <w:rPr>
              <w:sz w:val="16"/>
              <w:szCs w:val="16"/>
            </w:rPr>
            <w:t xml:space="preserve"> of </w:t>
          </w:r>
          <w:r w:rsidRPr="00586B58">
            <w:rPr>
              <w:sz w:val="16"/>
              <w:szCs w:val="16"/>
            </w:rPr>
            <w:fldChar w:fldCharType="begin"/>
          </w:r>
          <w:r w:rsidRPr="00586B58">
            <w:rPr>
              <w:sz w:val="16"/>
              <w:szCs w:val="16"/>
            </w:rPr>
            <w:instrText xml:space="preserve"> NUMPAGES  \* MERGEFORMAT </w:instrText>
          </w:r>
          <w:r w:rsidRPr="00586B58">
            <w:rPr>
              <w:sz w:val="16"/>
              <w:szCs w:val="16"/>
            </w:rPr>
            <w:fldChar w:fldCharType="separate"/>
          </w:r>
          <w:r w:rsidR="00A27E31">
            <w:rPr>
              <w:noProof/>
              <w:sz w:val="16"/>
              <w:szCs w:val="16"/>
            </w:rPr>
            <w:t>2</w:t>
          </w:r>
          <w:r w:rsidRPr="00586B58">
            <w:rPr>
              <w:sz w:val="16"/>
              <w:szCs w:val="16"/>
            </w:rPr>
            <w:fldChar w:fldCharType="end"/>
          </w:r>
        </w:p>
        <w:p w14:paraId="6A22AA2F" w14:textId="77777777" w:rsidR="00586B58" w:rsidRPr="00586B58" w:rsidRDefault="00586B58" w:rsidP="00586B58">
          <w:pPr>
            <w:pStyle w:val="Footer"/>
            <w:jc w:val="right"/>
            <w:rPr>
              <w:sz w:val="16"/>
              <w:szCs w:val="16"/>
            </w:rPr>
          </w:pPr>
        </w:p>
      </w:tc>
    </w:tr>
  </w:tbl>
  <w:p w14:paraId="2C9E5B45" w14:textId="77777777" w:rsidR="00586B58" w:rsidRPr="00586B58" w:rsidRDefault="00586B58" w:rsidP="00586B58">
    <w:pPr>
      <w:pStyle w:val="Footer"/>
      <w:rPr>
        <w:sz w:val="16"/>
      </w:rPr>
    </w:pPr>
  </w:p>
  <w:p w14:paraId="782789F5" w14:textId="77777777" w:rsidR="0006204C" w:rsidRPr="00586B58" w:rsidRDefault="0006204C" w:rsidP="00586B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586B58" w:rsidRPr="00586B58" w14:paraId="5F5FB22F" w14:textId="77777777" w:rsidTr="00586B58">
      <w:trPr>
        <w:jc w:val="center"/>
      </w:trPr>
      <w:tc>
        <w:tcPr>
          <w:tcW w:w="4621" w:type="dxa"/>
          <w:shd w:val="clear" w:color="auto" w:fill="auto"/>
        </w:tcPr>
        <w:p w14:paraId="4CE7CBB5" w14:textId="77777777" w:rsidR="00586B58" w:rsidRPr="00586B58" w:rsidRDefault="00586B58" w:rsidP="00586B58">
          <w:pPr>
            <w:pStyle w:val="Footer"/>
            <w:rPr>
              <w:sz w:val="16"/>
              <w:szCs w:val="16"/>
            </w:rPr>
          </w:pPr>
          <w:r w:rsidRPr="00586B58">
            <w:rPr>
              <w:sz w:val="16"/>
              <w:szCs w:val="16"/>
            </w:rPr>
            <w:t>GovEligibilityDef(Asia)VIE(ENG)(Nov2014)</w:t>
          </w:r>
        </w:p>
      </w:tc>
      <w:tc>
        <w:tcPr>
          <w:tcW w:w="4622" w:type="dxa"/>
          <w:shd w:val="clear" w:color="auto" w:fill="auto"/>
        </w:tcPr>
        <w:p w14:paraId="32F80D93" w14:textId="77777777" w:rsidR="00586B58" w:rsidRPr="00586B58" w:rsidRDefault="00586B58" w:rsidP="00586B58">
          <w:pPr>
            <w:pStyle w:val="Footer"/>
            <w:jc w:val="right"/>
            <w:rPr>
              <w:sz w:val="16"/>
              <w:szCs w:val="16"/>
            </w:rPr>
          </w:pPr>
          <w:r w:rsidRPr="00586B58">
            <w:rPr>
              <w:sz w:val="16"/>
              <w:szCs w:val="16"/>
            </w:rPr>
            <w:t xml:space="preserve">Page </w:t>
          </w:r>
          <w:r w:rsidRPr="00586B58">
            <w:rPr>
              <w:sz w:val="16"/>
              <w:szCs w:val="16"/>
            </w:rPr>
            <w:fldChar w:fldCharType="begin"/>
          </w:r>
          <w:r w:rsidRPr="00586B58">
            <w:rPr>
              <w:sz w:val="16"/>
              <w:szCs w:val="16"/>
            </w:rPr>
            <w:instrText xml:space="preserve"> PAGE  \* MERGEFORMAT </w:instrText>
          </w:r>
          <w:r w:rsidRPr="00586B58">
            <w:rPr>
              <w:sz w:val="16"/>
              <w:szCs w:val="16"/>
            </w:rPr>
            <w:fldChar w:fldCharType="separate"/>
          </w:r>
          <w:r w:rsidR="00A27E31">
            <w:rPr>
              <w:noProof/>
              <w:sz w:val="16"/>
              <w:szCs w:val="16"/>
            </w:rPr>
            <w:t>1</w:t>
          </w:r>
          <w:r w:rsidRPr="00586B58">
            <w:rPr>
              <w:sz w:val="16"/>
              <w:szCs w:val="16"/>
            </w:rPr>
            <w:fldChar w:fldCharType="end"/>
          </w:r>
          <w:r w:rsidRPr="00586B58">
            <w:rPr>
              <w:sz w:val="16"/>
              <w:szCs w:val="16"/>
            </w:rPr>
            <w:t xml:space="preserve"> of </w:t>
          </w:r>
          <w:r w:rsidRPr="00586B58">
            <w:rPr>
              <w:sz w:val="16"/>
              <w:szCs w:val="16"/>
            </w:rPr>
            <w:fldChar w:fldCharType="begin"/>
          </w:r>
          <w:r w:rsidRPr="00586B58">
            <w:rPr>
              <w:sz w:val="16"/>
              <w:szCs w:val="16"/>
            </w:rPr>
            <w:instrText xml:space="preserve"> NUMPAGES  \* MERGEFORMAT </w:instrText>
          </w:r>
          <w:r w:rsidRPr="00586B58">
            <w:rPr>
              <w:sz w:val="16"/>
              <w:szCs w:val="16"/>
            </w:rPr>
            <w:fldChar w:fldCharType="separate"/>
          </w:r>
          <w:r w:rsidR="00A27E31">
            <w:rPr>
              <w:noProof/>
              <w:sz w:val="16"/>
              <w:szCs w:val="16"/>
            </w:rPr>
            <w:t>2</w:t>
          </w:r>
          <w:r w:rsidRPr="00586B58">
            <w:rPr>
              <w:sz w:val="16"/>
              <w:szCs w:val="16"/>
            </w:rPr>
            <w:fldChar w:fldCharType="end"/>
          </w:r>
        </w:p>
        <w:p w14:paraId="737EB7D7" w14:textId="72C60D45" w:rsidR="00586B58" w:rsidRPr="00586B58" w:rsidRDefault="00586B58" w:rsidP="00586B58">
          <w:pPr>
            <w:pStyle w:val="Footer"/>
            <w:jc w:val="right"/>
            <w:rPr>
              <w:sz w:val="16"/>
              <w:szCs w:val="16"/>
            </w:rPr>
          </w:pPr>
        </w:p>
      </w:tc>
    </w:tr>
  </w:tbl>
  <w:p w14:paraId="301AE7A0" w14:textId="77777777" w:rsidR="005D37CF" w:rsidRPr="00586B58" w:rsidRDefault="005D37CF" w:rsidP="00586B58">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3BEB3" w14:textId="77777777" w:rsidR="00A136DF" w:rsidRDefault="00A136DF" w:rsidP="00CF4E9C">
      <w:pPr>
        <w:spacing w:before="0"/>
      </w:pPr>
      <w:r>
        <w:separator/>
      </w:r>
    </w:p>
  </w:footnote>
  <w:footnote w:type="continuationSeparator" w:id="0">
    <w:p w14:paraId="0D2C3CC2" w14:textId="77777777" w:rsidR="00A136DF" w:rsidRDefault="00A136DF"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95C5" w14:textId="5F103F56" w:rsidR="00165890" w:rsidRDefault="00A27E31">
    <w:pPr>
      <w:pStyle w:val="Header"/>
    </w:pPr>
    <w:r>
      <w:rPr>
        <w:noProof/>
      </w:rPr>
      <w:pict w14:anchorId="0D5AB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5137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068B" w14:textId="6BDB3359" w:rsidR="00165890" w:rsidRDefault="00A27E31">
    <w:pPr>
      <w:pStyle w:val="Header"/>
    </w:pPr>
    <w:r>
      <w:rPr>
        <w:noProof/>
      </w:rPr>
      <w:pict w14:anchorId="534DBB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5137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67B6D94B" w:rsidR="005D37CF" w:rsidRDefault="00A27E31" w:rsidP="00FB472C">
    <w:pPr>
      <w:pStyle w:val="Header"/>
      <w:jc w:val="left"/>
    </w:pPr>
    <w:r>
      <w:rPr>
        <w:noProof/>
      </w:rPr>
      <w:pict w14:anchorId="6CBB0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5137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6499"/>
    <w:rsid w:val="000E2821"/>
    <w:rsid w:val="001263E5"/>
    <w:rsid w:val="00165890"/>
    <w:rsid w:val="001A4EAB"/>
    <w:rsid w:val="002034A1"/>
    <w:rsid w:val="00254540"/>
    <w:rsid w:val="002B1126"/>
    <w:rsid w:val="002C7665"/>
    <w:rsid w:val="002F2434"/>
    <w:rsid w:val="00305443"/>
    <w:rsid w:val="00380578"/>
    <w:rsid w:val="00387A64"/>
    <w:rsid w:val="003B6DC6"/>
    <w:rsid w:val="0042245E"/>
    <w:rsid w:val="004735D0"/>
    <w:rsid w:val="00493CEC"/>
    <w:rsid w:val="004A701B"/>
    <w:rsid w:val="004B6ADE"/>
    <w:rsid w:val="005505EF"/>
    <w:rsid w:val="00586B58"/>
    <w:rsid w:val="00590119"/>
    <w:rsid w:val="005D37CF"/>
    <w:rsid w:val="005D760D"/>
    <w:rsid w:val="0064711A"/>
    <w:rsid w:val="006F214E"/>
    <w:rsid w:val="007C13AD"/>
    <w:rsid w:val="007E1AD7"/>
    <w:rsid w:val="007E463F"/>
    <w:rsid w:val="00814D01"/>
    <w:rsid w:val="00837C81"/>
    <w:rsid w:val="00845DF2"/>
    <w:rsid w:val="0084628C"/>
    <w:rsid w:val="0084691D"/>
    <w:rsid w:val="00857479"/>
    <w:rsid w:val="00883E16"/>
    <w:rsid w:val="008A327A"/>
    <w:rsid w:val="008D739F"/>
    <w:rsid w:val="00921E07"/>
    <w:rsid w:val="00962F52"/>
    <w:rsid w:val="00997BA6"/>
    <w:rsid w:val="009B1C45"/>
    <w:rsid w:val="009B4A1E"/>
    <w:rsid w:val="009E4D3C"/>
    <w:rsid w:val="009F6773"/>
    <w:rsid w:val="00A00760"/>
    <w:rsid w:val="00A136DF"/>
    <w:rsid w:val="00A27E31"/>
    <w:rsid w:val="00A561A9"/>
    <w:rsid w:val="00AA2506"/>
    <w:rsid w:val="00AA5A57"/>
    <w:rsid w:val="00AF0183"/>
    <w:rsid w:val="00AF2DB2"/>
    <w:rsid w:val="00BB2686"/>
    <w:rsid w:val="00BF7180"/>
    <w:rsid w:val="00C71871"/>
    <w:rsid w:val="00CC305F"/>
    <w:rsid w:val="00CF4E9C"/>
    <w:rsid w:val="00D164EA"/>
    <w:rsid w:val="00D760D9"/>
    <w:rsid w:val="00DB0E94"/>
    <w:rsid w:val="00E02027"/>
    <w:rsid w:val="00E17EAA"/>
    <w:rsid w:val="00E223A5"/>
    <w:rsid w:val="00E24334"/>
    <w:rsid w:val="00E74F51"/>
    <w:rsid w:val="00E81596"/>
    <w:rsid w:val="00EE24D7"/>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laHSlEsBCL2+iJ3KkLP5jshoYjE=" w:salt="UF/cZMCVa9G+gkhZw01O6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6</cp:revision>
  <cp:lastPrinted>2012-03-08T00:30:00Z</cp:lastPrinted>
  <dcterms:created xsi:type="dcterms:W3CDTF">2014-09-05T03:56:00Z</dcterms:created>
  <dcterms:modified xsi:type="dcterms:W3CDTF">2014-10-07T18:29:00Z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